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A6BF843" w:rsidR="00D04424" w:rsidRPr="001777AA" w:rsidRDefault="0014332B" w:rsidP="003719AD">
      <w:pPr>
        <w:pStyle w:val="Heading1"/>
        <w:spacing w:before="0" w:after="0"/>
        <w:jc w:val="left"/>
        <w:rPr>
          <w:bCs/>
          <w:color w:val="000000" w:themeColor="text1"/>
          <w:sz w:val="32"/>
        </w:rPr>
      </w:pPr>
      <w:r w:rsidRPr="001777AA">
        <w:rPr>
          <w:bCs/>
          <w:color w:val="000000" w:themeColor="text1"/>
          <w:sz w:val="32"/>
        </w:rPr>
        <w:t>Bespoke p</w:t>
      </w:r>
      <w:r w:rsidR="00D04424" w:rsidRPr="001777AA">
        <w:rPr>
          <w:bCs/>
          <w:color w:val="000000" w:themeColor="text1"/>
          <w:sz w:val="32"/>
        </w:rPr>
        <w:t>ermit</w:t>
      </w:r>
      <w:r w:rsidR="00B73ECB" w:rsidRPr="001777AA">
        <w:rPr>
          <w:bCs/>
          <w:color w:val="000000" w:themeColor="text1"/>
          <w:sz w:val="32"/>
        </w:rPr>
        <w:t xml:space="preserve"> </w:t>
      </w:r>
    </w:p>
    <w:p w14:paraId="41AC372F" w14:textId="77777777" w:rsidR="00136717" w:rsidRPr="001777AA" w:rsidRDefault="00136717" w:rsidP="00136717">
      <w:pPr>
        <w:rPr>
          <w:color w:val="000000" w:themeColor="text1"/>
        </w:rPr>
      </w:pPr>
    </w:p>
    <w:p w14:paraId="0FF1524F" w14:textId="77777777" w:rsidR="007820C3" w:rsidRPr="001777AA" w:rsidRDefault="007820C3" w:rsidP="00D04424">
      <w:pPr>
        <w:rPr>
          <w:rFonts w:ascii="Arial" w:hAnsi="Arial" w:cs="Arial"/>
          <w:color w:val="000000" w:themeColor="text1"/>
          <w:szCs w:val="24"/>
        </w:rPr>
      </w:pPr>
    </w:p>
    <w:p w14:paraId="0FF15250" w14:textId="48F5F65B" w:rsidR="00D04424" w:rsidRPr="001777AA" w:rsidRDefault="0060457F" w:rsidP="006B0BFB">
      <w:pPr>
        <w:spacing w:after="120"/>
        <w:rPr>
          <w:rFonts w:ascii="Arial" w:hAnsi="Arial" w:cs="Arial"/>
          <w:color w:val="000000" w:themeColor="text1"/>
          <w:szCs w:val="24"/>
        </w:rPr>
      </w:pPr>
      <w:r w:rsidRPr="001777AA">
        <w:rPr>
          <w:rFonts w:ascii="Arial" w:hAnsi="Arial" w:cs="Arial"/>
          <w:color w:val="000000" w:themeColor="text1"/>
          <w:szCs w:val="24"/>
        </w:rPr>
        <w:t xml:space="preserve">We have decided to </w:t>
      </w:r>
      <w:r w:rsidR="00D2020E" w:rsidRPr="001777AA">
        <w:rPr>
          <w:rFonts w:ascii="Arial" w:hAnsi="Arial" w:cs="Arial"/>
          <w:color w:val="000000" w:themeColor="text1"/>
          <w:szCs w:val="24"/>
        </w:rPr>
        <w:t xml:space="preserve">grant </w:t>
      </w:r>
      <w:r w:rsidRPr="001777AA">
        <w:rPr>
          <w:rFonts w:ascii="Arial" w:hAnsi="Arial" w:cs="Arial"/>
          <w:color w:val="000000" w:themeColor="text1"/>
          <w:szCs w:val="24"/>
        </w:rPr>
        <w:t xml:space="preserve">the permit </w:t>
      </w:r>
      <w:r w:rsidR="001777AA" w:rsidRPr="001777AA">
        <w:rPr>
          <w:rFonts w:ascii="Arial" w:hAnsi="Arial" w:cs="Arial"/>
          <w:color w:val="000000" w:themeColor="text1"/>
          <w:szCs w:val="24"/>
        </w:rPr>
        <w:t>for Brynderwen</w:t>
      </w:r>
      <w:r w:rsidRPr="001777AA">
        <w:rPr>
          <w:rFonts w:ascii="Arial" w:hAnsi="Arial" w:cs="Arial"/>
          <w:color w:val="000000" w:themeColor="text1"/>
          <w:szCs w:val="24"/>
        </w:rPr>
        <w:t xml:space="preserve"> operated by </w:t>
      </w:r>
      <w:r w:rsidR="001777AA" w:rsidRPr="001777AA">
        <w:rPr>
          <w:rFonts w:ascii="Arial" w:hAnsi="Arial" w:cs="Arial"/>
          <w:color w:val="000000" w:themeColor="text1"/>
          <w:szCs w:val="24"/>
        </w:rPr>
        <w:t>Emma Collingswood.</w:t>
      </w:r>
    </w:p>
    <w:p w14:paraId="178F17B4" w14:textId="2C2066DA" w:rsidR="00E907C6" w:rsidRPr="001777AA"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1777AA">
        <w:rPr>
          <w:rFonts w:ascii="Arial" w:hAnsi="Arial"/>
          <w:color w:val="000000" w:themeColor="text1"/>
          <w:kern w:val="28"/>
          <w:szCs w:val="24"/>
        </w:rPr>
        <w:t xml:space="preserve">The application number is </w:t>
      </w:r>
      <w:r w:rsidR="001777AA" w:rsidRPr="001777AA">
        <w:rPr>
          <w:rFonts w:ascii="Arial" w:hAnsi="Arial"/>
          <w:color w:val="000000" w:themeColor="text1"/>
          <w:szCs w:val="24"/>
        </w:rPr>
        <w:t>PAN-014927</w:t>
      </w:r>
    </w:p>
    <w:p w14:paraId="0FF15251" w14:textId="734AEC6C"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D265C6" w:rsidRPr="00D265C6">
        <w:rPr>
          <w:rFonts w:ascii="Arial" w:hAnsi="Arial"/>
          <w:color w:val="000000" w:themeColor="text1"/>
          <w:szCs w:val="24"/>
        </w:rPr>
        <w:t>EPR-CB3393CS</w:t>
      </w:r>
    </w:p>
    <w:p w14:paraId="5DA39CB9" w14:textId="01378C4C" w:rsidR="001777AA" w:rsidRPr="001777AA" w:rsidRDefault="000225DA" w:rsidP="001777AA">
      <w:pPr>
        <w:tabs>
          <w:tab w:val="left" w:pos="4253"/>
          <w:tab w:val="left" w:pos="6804"/>
        </w:tabs>
        <w:rPr>
          <w:rFonts w:ascii="Arial" w:hAnsi="Arial"/>
          <w:color w:val="000000" w:themeColor="text1"/>
        </w:rPr>
      </w:pPr>
      <w:r w:rsidRPr="00D2020E">
        <w:rPr>
          <w:rFonts w:ascii="Arial" w:hAnsi="Arial"/>
          <w:color w:val="000000"/>
        </w:rPr>
        <w:t xml:space="preserve">The </w:t>
      </w:r>
      <w:r w:rsidR="00E244F7" w:rsidRPr="00D2020E">
        <w:rPr>
          <w:rFonts w:ascii="Arial" w:hAnsi="Arial"/>
          <w:color w:val="000000"/>
        </w:rPr>
        <w:t xml:space="preserve">discharge is </w:t>
      </w:r>
      <w:r w:rsidR="00E244F7" w:rsidRPr="001777AA">
        <w:rPr>
          <w:rFonts w:ascii="Arial" w:hAnsi="Arial"/>
          <w:color w:val="000000" w:themeColor="text1"/>
        </w:rPr>
        <w:t xml:space="preserve">for </w:t>
      </w:r>
      <w:bookmarkEnd w:id="0"/>
      <w:bookmarkEnd w:id="1"/>
      <w:r w:rsidR="001777AA" w:rsidRPr="001777AA">
        <w:rPr>
          <w:rFonts w:ascii="Arial" w:hAnsi="Arial"/>
          <w:color w:val="000000" w:themeColor="text1"/>
        </w:rPr>
        <w:t>a new ground water discharge at Brynderwen, Black Mountain Road, SA19 9BS.  The discharge location NGR is SN 70901 27299.</w:t>
      </w:r>
    </w:p>
    <w:p w14:paraId="470432CB" w14:textId="06851788" w:rsidR="001777AA" w:rsidRPr="001777AA" w:rsidRDefault="001777AA" w:rsidP="001777AA">
      <w:pPr>
        <w:tabs>
          <w:tab w:val="left" w:pos="4253"/>
          <w:tab w:val="left" w:pos="6804"/>
        </w:tabs>
        <w:rPr>
          <w:rFonts w:ascii="Arial" w:hAnsi="Arial"/>
          <w:color w:val="000000" w:themeColor="text1"/>
        </w:rPr>
      </w:pPr>
      <w:r w:rsidRPr="001777AA">
        <w:rPr>
          <w:rFonts w:ascii="Arial" w:hAnsi="Arial"/>
          <w:color w:val="000000" w:themeColor="text1"/>
        </w:rPr>
        <w:t xml:space="preserve">The package treatment plant system will be serving 25x touring caravans, 2 x washing machines and staff toilets. The chemical toilets from the caravans will be stored and disposed of separately off site.  The PTP conform to current British Standards BS 12566.  The treated effluent is domestic in nature.  The discharge is into a drainage field and the field is sized appropriately.  A sewage effluent discharge of a low volume 13.4 m3/day has been estimated.  </w:t>
      </w:r>
    </w:p>
    <w:p w14:paraId="1100ABA4" w14:textId="77777777" w:rsidR="001777AA" w:rsidRDefault="001777AA" w:rsidP="001777AA">
      <w:pPr>
        <w:tabs>
          <w:tab w:val="left" w:pos="4253"/>
          <w:tab w:val="left" w:pos="6804"/>
        </w:tabs>
        <w:spacing w:after="120"/>
        <w:rPr>
          <w:rFonts w:ascii="Arial" w:hAnsi="Arial"/>
          <w:color w:val="FF00FF"/>
        </w:rPr>
      </w:pPr>
    </w:p>
    <w:p w14:paraId="0FF15253" w14:textId="071D7AE7" w:rsidR="00D04424" w:rsidRDefault="00D04424" w:rsidP="001777AA">
      <w:pPr>
        <w:tabs>
          <w:tab w:val="left" w:pos="4253"/>
          <w:tab w:val="left" w:pos="6804"/>
        </w:tabs>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9220CDC" w:rsidR="007820C3" w:rsidRPr="00DA70FE" w:rsidRDefault="008F7362" w:rsidP="007820C3">
            <w:pPr>
              <w:pStyle w:val="Heading3"/>
              <w:spacing w:before="60"/>
              <w:rPr>
                <w:rFonts w:ascii="Arial" w:hAnsi="Arial" w:cs="Arial"/>
                <w:b w:val="0"/>
                <w:color w:val="000000"/>
                <w:szCs w:val="24"/>
                <w:highlight w:val="red"/>
              </w:rPr>
            </w:pPr>
            <w:r w:rsidRPr="008F7362">
              <w:rPr>
                <w:rFonts w:ascii="Arial" w:hAnsi="Arial" w:cs="Arial"/>
                <w:b w:val="0"/>
                <w:color w:val="000000"/>
                <w:szCs w:val="24"/>
              </w:rPr>
              <w:t>Responses to web publicising</w:t>
            </w:r>
          </w:p>
        </w:tc>
        <w:tc>
          <w:tcPr>
            <w:tcW w:w="6266" w:type="dxa"/>
            <w:tcBorders>
              <w:bottom w:val="single" w:sz="4" w:space="0" w:color="auto"/>
            </w:tcBorders>
          </w:tcPr>
          <w:p w14:paraId="51EE613B" w14:textId="77777777" w:rsidR="008F7362" w:rsidRPr="00C47E88" w:rsidRDefault="008F7362" w:rsidP="008F7362">
            <w:pPr>
              <w:spacing w:before="60"/>
              <w:rPr>
                <w:rFonts w:ascii="Arial" w:hAnsi="Arial" w:cs="Arial"/>
                <w:szCs w:val="24"/>
              </w:rPr>
            </w:pPr>
            <w:r w:rsidRPr="00C47E88">
              <w:rPr>
                <w:rFonts w:ascii="Arial" w:hAnsi="Arial" w:cs="Arial"/>
                <w:szCs w:val="24"/>
              </w:rPr>
              <w:t>No responses were received.</w:t>
            </w:r>
          </w:p>
          <w:p w14:paraId="4114F0AC" w14:textId="77777777" w:rsidR="008F7362" w:rsidRPr="00C47E88" w:rsidRDefault="008F7362" w:rsidP="008F7362">
            <w:pPr>
              <w:spacing w:before="60"/>
              <w:rPr>
                <w:rFonts w:ascii="Arial" w:hAnsi="Arial" w:cs="Arial"/>
                <w:szCs w:val="24"/>
              </w:rPr>
            </w:pPr>
          </w:p>
          <w:p w14:paraId="5B61CC6D" w14:textId="77777777" w:rsidR="008F7362" w:rsidRDefault="008F7362" w:rsidP="008F7362">
            <w:pPr>
              <w:spacing w:before="60"/>
              <w:rPr>
                <w:rFonts w:ascii="Arial" w:hAnsi="Arial" w:cs="Arial"/>
                <w:szCs w:val="24"/>
              </w:rPr>
            </w:pPr>
            <w:r w:rsidRPr="00C47E88">
              <w:rPr>
                <w:rFonts w:ascii="Arial" w:hAnsi="Arial" w:cs="Arial"/>
                <w:szCs w:val="24"/>
              </w:rPr>
              <w:t xml:space="preserve">The decision was taken in accordance with our guidance. </w:t>
            </w:r>
          </w:p>
          <w:p w14:paraId="0FF1529D" w14:textId="77777777" w:rsidR="007820C3" w:rsidRPr="00DA70FE" w:rsidRDefault="007820C3" w:rsidP="008F7362">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AFFB6E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B1" w14:textId="77777777" w:rsidTr="396B50C7">
        <w:trPr>
          <w:gridAfter w:val="1"/>
          <w:wAfter w:w="13" w:type="dxa"/>
        </w:trPr>
        <w:tc>
          <w:tcPr>
            <w:tcW w:w="1951" w:type="dxa"/>
            <w:tcBorders>
              <w:bottom w:val="single" w:sz="4" w:space="0" w:color="auto"/>
            </w:tcBorders>
          </w:tcPr>
          <w:p w14:paraId="0FF152AA" w14:textId="114CA580" w:rsidR="007820C3" w:rsidRPr="007820C3" w:rsidRDefault="007820C3" w:rsidP="00792CEE">
            <w:pPr>
              <w:rPr>
                <w:rFonts w:ascii="Arial" w:hAnsi="Arial" w:cs="Arial"/>
                <w:color w:val="FF00FF"/>
                <w:szCs w:val="24"/>
                <w:highlight w:val="yellow"/>
              </w:rPr>
            </w:pPr>
          </w:p>
        </w:tc>
        <w:tc>
          <w:tcPr>
            <w:tcW w:w="6266" w:type="dxa"/>
            <w:tcBorders>
              <w:bottom w:val="single" w:sz="4" w:space="0" w:color="auto"/>
            </w:tcBorders>
          </w:tcPr>
          <w:p w14:paraId="0FF152AF" w14:textId="77777777" w:rsidR="007820C3" w:rsidRPr="007820C3" w:rsidRDefault="007820C3" w:rsidP="0017110E">
            <w:pPr>
              <w:rPr>
                <w:rFonts w:ascii="Arial" w:hAnsi="Arial" w:cs="Arial"/>
                <w:b/>
                <w:color w:val="FF0000"/>
                <w:szCs w:val="24"/>
              </w:rPr>
            </w:pPr>
          </w:p>
        </w:tc>
        <w:tc>
          <w:tcPr>
            <w:tcW w:w="1072" w:type="dxa"/>
            <w:tcBorders>
              <w:bottom w:val="single" w:sz="4" w:space="0" w:color="auto"/>
            </w:tcBorders>
          </w:tcPr>
          <w:p w14:paraId="0FF152B0" w14:textId="7F198693" w:rsidR="007820C3" w:rsidRPr="00FB30B4" w:rsidRDefault="007820C3" w:rsidP="00792CEE">
            <w:pPr>
              <w:rPr>
                <w:rFonts w:ascii="Arial" w:hAnsi="Arial" w:cs="Arial"/>
                <w:color w:val="000000"/>
                <w:szCs w:val="24"/>
              </w:rPr>
            </w:pP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8F736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B9290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661FE7D4" w14:textId="177EC893" w:rsidR="00B92904" w:rsidRPr="00B92904" w:rsidRDefault="00B92904" w:rsidP="00B92904">
            <w:pPr>
              <w:rPr>
                <w:rFonts w:ascii="Arial" w:hAnsi="Arial" w:cs="Arial"/>
                <w:color w:val="000000" w:themeColor="text1"/>
                <w:szCs w:val="24"/>
              </w:rPr>
            </w:pPr>
            <w:r w:rsidRPr="00B92904">
              <w:rPr>
                <w:rFonts w:ascii="Arial" w:hAnsi="Arial" w:cs="Arial"/>
                <w:color w:val="000000" w:themeColor="text1"/>
                <w:szCs w:val="24"/>
              </w:rPr>
              <w:t xml:space="preserve">The application is within the relevant distance criteria of a site of </w:t>
            </w:r>
            <w:proofErr w:type="gramStart"/>
            <w:r w:rsidRPr="00B92904">
              <w:rPr>
                <w:rFonts w:ascii="Arial" w:hAnsi="Arial" w:cs="Arial"/>
                <w:color w:val="000000" w:themeColor="text1"/>
                <w:szCs w:val="24"/>
              </w:rPr>
              <w:t>heritage,  landscape</w:t>
            </w:r>
            <w:proofErr w:type="gramEnd"/>
            <w:r w:rsidRPr="00B92904">
              <w:rPr>
                <w:rFonts w:ascii="Arial" w:hAnsi="Arial" w:cs="Arial"/>
                <w:color w:val="000000" w:themeColor="text1"/>
                <w:szCs w:val="24"/>
              </w:rPr>
              <w:t xml:space="preserve"> or nature conservation, and/or protected species or habitat .</w:t>
            </w:r>
          </w:p>
          <w:p w14:paraId="710DAA25" w14:textId="77777777" w:rsidR="00B92904" w:rsidRPr="00B92904" w:rsidRDefault="00B92904" w:rsidP="00B92904">
            <w:pPr>
              <w:rPr>
                <w:rFonts w:ascii="Arial" w:hAnsi="Arial" w:cs="Arial"/>
                <w:color w:val="000000" w:themeColor="text1"/>
                <w:szCs w:val="24"/>
              </w:rPr>
            </w:pPr>
          </w:p>
          <w:p w14:paraId="0FF152C8" w14:textId="3445507E" w:rsidR="00B92904" w:rsidRPr="00B92904" w:rsidRDefault="00B92904" w:rsidP="00B92904">
            <w:pPr>
              <w:rPr>
                <w:rFonts w:ascii="Arial" w:hAnsi="Arial" w:cs="Arial"/>
                <w:color w:val="000000" w:themeColor="text1"/>
                <w:szCs w:val="24"/>
              </w:rPr>
            </w:pPr>
            <w:r w:rsidRPr="00B92904">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B92904">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71F36FE2" w14:textId="77777777" w:rsidR="00B92904" w:rsidRPr="00355593" w:rsidRDefault="00B92904" w:rsidP="00B92904">
            <w:pPr>
              <w:spacing w:before="60"/>
              <w:rPr>
                <w:rFonts w:ascii="Arial" w:hAnsi="Arial" w:cs="Arial"/>
                <w:color w:val="000000" w:themeColor="text1"/>
                <w:szCs w:val="24"/>
              </w:rPr>
            </w:pPr>
            <w:r w:rsidRPr="00355593">
              <w:rPr>
                <w:rFonts w:ascii="Arial" w:hAnsi="Arial" w:cs="Arial"/>
                <w:color w:val="000000" w:themeColor="text1"/>
                <w:szCs w:val="24"/>
              </w:rPr>
              <w:t xml:space="preserve">HRA is not required because there is no conceivable impact pathway to any Natura 2000/Ramsar site  </w:t>
            </w:r>
          </w:p>
          <w:p w14:paraId="23181296" w14:textId="6B2CFF17" w:rsidR="00B92904" w:rsidRDefault="00B92904" w:rsidP="00B92904">
            <w:pPr>
              <w:spacing w:before="60"/>
              <w:rPr>
                <w:rFonts w:ascii="Arial" w:hAnsi="Arial" w:cs="Arial"/>
                <w:color w:val="000000" w:themeColor="text1"/>
                <w:szCs w:val="24"/>
              </w:rPr>
            </w:pPr>
            <w:r w:rsidRPr="00355593">
              <w:rPr>
                <w:rFonts w:ascii="Arial" w:hAnsi="Arial" w:cs="Arial"/>
                <w:color w:val="000000" w:themeColor="text1"/>
                <w:szCs w:val="24"/>
              </w:rPr>
              <w:t xml:space="preserve">Note: From OGN 200 - no conceivable impact on any Natura 2000 site, by virtue of the scale or location or nature of the </w:t>
            </w:r>
            <w:proofErr w:type="gramStart"/>
            <w:r w:rsidRPr="00355593">
              <w:rPr>
                <w:rFonts w:ascii="Arial" w:hAnsi="Arial" w:cs="Arial"/>
                <w:color w:val="000000" w:themeColor="text1"/>
                <w:szCs w:val="24"/>
              </w:rPr>
              <w:t>project .</w:t>
            </w:r>
            <w:proofErr w:type="gramEnd"/>
          </w:p>
          <w:p w14:paraId="38430539" w14:textId="77777777" w:rsidR="004F642B" w:rsidRPr="00355593" w:rsidRDefault="004F642B" w:rsidP="00B92904">
            <w:pPr>
              <w:spacing w:before="60"/>
              <w:rPr>
                <w:rFonts w:ascii="Arial" w:hAnsi="Arial" w:cs="Arial"/>
                <w:color w:val="000000" w:themeColor="text1"/>
                <w:szCs w:val="24"/>
              </w:rPr>
            </w:pPr>
          </w:p>
          <w:p w14:paraId="4D837AF3" w14:textId="26E72BCC" w:rsidR="004F642B" w:rsidRPr="004F642B" w:rsidRDefault="004F642B" w:rsidP="004F642B">
            <w:pPr>
              <w:rPr>
                <w:rFonts w:ascii="Arial" w:hAnsi="Arial" w:cs="Arial"/>
                <w:bCs/>
                <w:iCs/>
                <w:color w:val="000000"/>
                <w:szCs w:val="24"/>
              </w:rPr>
            </w:pPr>
            <w:r w:rsidRPr="004F642B">
              <w:rPr>
                <w:rFonts w:ascii="Arial" w:hAnsi="Arial" w:cs="Arial"/>
                <w:bCs/>
                <w:iCs/>
                <w:color w:val="000000"/>
                <w:szCs w:val="24"/>
              </w:rPr>
              <w:t xml:space="preserve">The new proposal intends to discharge from a British Standard package treatment plant into an appropriately sized infiltration system.  The system is not within screening distance of any SAC’s or SSSI’s however it is within 280m (as the crow fly’s) of the </w:t>
            </w:r>
            <w:bookmarkStart w:id="2" w:name="_Hlk90390005"/>
            <w:r w:rsidRPr="004F642B">
              <w:rPr>
                <w:rFonts w:ascii="Arial" w:hAnsi="Arial" w:cs="Arial"/>
                <w:bCs/>
                <w:iCs/>
                <w:color w:val="000000"/>
                <w:szCs w:val="24"/>
              </w:rPr>
              <w:t>“</w:t>
            </w:r>
            <w:r w:rsidRPr="004F642B">
              <w:rPr>
                <w:rFonts w:ascii="Arial" w:hAnsi="Arial" w:cs="Arial"/>
                <w:color w:val="333333"/>
                <w:szCs w:val="24"/>
                <w:shd w:val="clear" w:color="auto" w:fill="FFFFFF"/>
              </w:rPr>
              <w:t xml:space="preserve">GB110060029290 </w:t>
            </w:r>
            <w:bookmarkEnd w:id="2"/>
            <w:r w:rsidRPr="004F642B">
              <w:rPr>
                <w:rFonts w:ascii="Arial" w:hAnsi="Arial" w:cs="Arial"/>
                <w:color w:val="333333"/>
                <w:szCs w:val="24"/>
                <w:shd w:val="clear" w:color="auto" w:fill="FFFFFF"/>
              </w:rPr>
              <w:t xml:space="preserve">Tywi - conf with Llandovery Bran to conf with Cothi” catchment which is currently complying for Phosphorus targets but is part of the overall </w:t>
            </w:r>
            <w:bookmarkStart w:id="3" w:name="_Hlk90390211"/>
            <w:r w:rsidRPr="004F642B">
              <w:rPr>
                <w:rFonts w:ascii="Arial" w:hAnsi="Arial" w:cs="Arial"/>
                <w:color w:val="333333"/>
                <w:szCs w:val="24"/>
                <w:shd w:val="clear" w:color="auto" w:fill="FFFFFF"/>
              </w:rPr>
              <w:t xml:space="preserve">“Phosphorus Sensitive SAC Catchment” </w:t>
            </w:r>
            <w:bookmarkEnd w:id="3"/>
            <w:r w:rsidRPr="004F642B">
              <w:rPr>
                <w:rFonts w:ascii="Arial" w:hAnsi="Arial" w:cs="Arial"/>
                <w:color w:val="333333"/>
                <w:szCs w:val="24"/>
                <w:shd w:val="clear" w:color="auto" w:fill="FFFFFF"/>
              </w:rPr>
              <w:t>and its effects need to be considered.</w:t>
            </w:r>
          </w:p>
          <w:p w14:paraId="4810A2AB" w14:textId="77777777" w:rsidR="004F642B" w:rsidRPr="004F642B" w:rsidRDefault="004F642B" w:rsidP="004F642B">
            <w:pPr>
              <w:rPr>
                <w:rFonts w:ascii="Arial" w:hAnsi="Arial" w:cs="Arial"/>
                <w:bCs/>
                <w:iCs/>
                <w:color w:val="000000"/>
                <w:szCs w:val="24"/>
              </w:rPr>
            </w:pPr>
          </w:p>
          <w:p w14:paraId="413D48F2" w14:textId="77777777" w:rsidR="004F642B" w:rsidRPr="004F642B" w:rsidRDefault="004F642B" w:rsidP="004F642B">
            <w:pPr>
              <w:rPr>
                <w:rFonts w:ascii="Arial" w:hAnsi="Arial" w:cs="Arial"/>
                <w:bCs/>
                <w:iCs/>
                <w:color w:val="000000"/>
                <w:szCs w:val="24"/>
              </w:rPr>
            </w:pPr>
            <w:r w:rsidRPr="004F642B">
              <w:rPr>
                <w:rFonts w:ascii="Arial" w:hAnsi="Arial" w:cs="Arial"/>
                <w:bCs/>
                <w:iCs/>
                <w:color w:val="000000"/>
                <w:szCs w:val="24"/>
              </w:rPr>
              <w:t xml:space="preserve">There is no impact pathway to the nearby catchment so it is reasonable to conclude that this proposal can be screened out as having ‘no likely significant effect’ on increasing Phosphorus levels within the “GB110060029290” catchment.  </w:t>
            </w:r>
          </w:p>
          <w:p w14:paraId="6724490C" w14:textId="77777777" w:rsidR="004F642B" w:rsidRPr="004F642B" w:rsidRDefault="004F642B" w:rsidP="004F642B">
            <w:pPr>
              <w:rPr>
                <w:rFonts w:ascii="Arial" w:hAnsi="Arial" w:cs="Arial"/>
                <w:bCs/>
                <w:iCs/>
                <w:color w:val="000000"/>
                <w:szCs w:val="24"/>
              </w:rPr>
            </w:pPr>
          </w:p>
          <w:p w14:paraId="76134918" w14:textId="77777777" w:rsidR="004F642B" w:rsidRPr="004F642B" w:rsidRDefault="004F642B" w:rsidP="004F642B">
            <w:pPr>
              <w:rPr>
                <w:rFonts w:ascii="Arial" w:hAnsi="Arial" w:cs="Arial"/>
                <w:bCs/>
                <w:iCs/>
                <w:color w:val="000000"/>
                <w:szCs w:val="24"/>
              </w:rPr>
            </w:pPr>
            <w:r w:rsidRPr="004F642B">
              <w:rPr>
                <w:rFonts w:ascii="Arial" w:hAnsi="Arial" w:cs="Arial"/>
                <w:bCs/>
                <w:iCs/>
                <w:color w:val="000000"/>
                <w:szCs w:val="24"/>
              </w:rPr>
              <w:t>This application proposal will bring the site under NRW regulation which will better enable any future compliance, if needed.  The regulation of this proposal is proportionate to the scale of this system. This approach complies with the current planning advice provided by NRW.</w:t>
            </w:r>
          </w:p>
          <w:p w14:paraId="67AFC2B0" w14:textId="021D1BA5" w:rsidR="004F642B" w:rsidRPr="007820C3" w:rsidRDefault="004F642B" w:rsidP="00B92904">
            <w:pPr>
              <w:spacing w:before="60"/>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5" w14:textId="4CE228AA" w:rsidR="007820C3" w:rsidRPr="00FB30B4" w:rsidRDefault="007820C3" w:rsidP="00792CEE">
            <w:pPr>
              <w:rPr>
                <w:rFonts w:ascii="Arial" w:hAnsi="Arial" w:cs="Arial"/>
                <w:color w:val="FF00FF"/>
                <w:szCs w:val="24"/>
              </w:rPr>
            </w:pPr>
          </w:p>
        </w:tc>
        <w:tc>
          <w:tcPr>
            <w:tcW w:w="6266" w:type="dxa"/>
          </w:tcPr>
          <w:p w14:paraId="0FF152DD" w14:textId="77777777" w:rsidR="00FB30B4" w:rsidRPr="007820C3" w:rsidRDefault="00FB30B4" w:rsidP="00792CEE">
            <w:pPr>
              <w:pStyle w:val="BodyText"/>
              <w:rPr>
                <w:rFonts w:ascii="Arial" w:hAnsi="Arial" w:cs="Arial"/>
                <w:szCs w:val="24"/>
              </w:rPr>
            </w:pPr>
          </w:p>
        </w:tc>
        <w:tc>
          <w:tcPr>
            <w:tcW w:w="1072" w:type="dxa"/>
          </w:tcPr>
          <w:p w14:paraId="0FF152DE" w14:textId="1E6968B2" w:rsidR="007820C3" w:rsidRPr="00FB30B4" w:rsidRDefault="007820C3" w:rsidP="00792CEE">
            <w:pPr>
              <w:rPr>
                <w:rFonts w:ascii="Arial" w:hAnsi="Arial" w:cs="Arial"/>
                <w:color w:val="000000"/>
                <w:szCs w:val="24"/>
              </w:rPr>
            </w:pP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2EE2029" w:rsidR="007820C3" w:rsidRPr="00FB30B4" w:rsidRDefault="007820C3" w:rsidP="00A26EA6">
            <w:pPr>
              <w:rPr>
                <w:rFonts w:ascii="Arial" w:hAnsi="Arial" w:cs="Arial"/>
                <w:color w:val="FF00FF"/>
                <w:szCs w:val="24"/>
              </w:rPr>
            </w:pPr>
          </w:p>
        </w:tc>
        <w:tc>
          <w:tcPr>
            <w:tcW w:w="6266" w:type="dxa"/>
          </w:tcPr>
          <w:p w14:paraId="56CB74D7" w14:textId="77777777" w:rsidR="00B92904" w:rsidRPr="00C47E88" w:rsidRDefault="00B92904" w:rsidP="00B92904">
            <w:pPr>
              <w:pStyle w:val="BodyText"/>
              <w:rPr>
                <w:rFonts w:ascii="Arial" w:hAnsi="Arial" w:cs="Arial"/>
                <w:szCs w:val="24"/>
              </w:rPr>
            </w:pPr>
            <w:r w:rsidRPr="00C47E88">
              <w:rPr>
                <w:rFonts w:ascii="Arial" w:hAnsi="Arial" w:cs="Arial"/>
                <w:szCs w:val="24"/>
              </w:rPr>
              <w:t xml:space="preserve">We have carried out a risk assessment on behalf of the operator.  </w:t>
            </w:r>
          </w:p>
          <w:p w14:paraId="564E4ED2" w14:textId="77777777" w:rsidR="00B92904" w:rsidRPr="00C47E88" w:rsidRDefault="00B92904" w:rsidP="00B92904">
            <w:pPr>
              <w:pStyle w:val="BodyText"/>
              <w:rPr>
                <w:rFonts w:ascii="Arial" w:hAnsi="Arial" w:cs="Arial"/>
                <w:szCs w:val="24"/>
              </w:rPr>
            </w:pPr>
          </w:p>
          <w:p w14:paraId="1532ABA7" w14:textId="77777777" w:rsidR="00B92904" w:rsidRPr="00C47E88" w:rsidRDefault="00B92904" w:rsidP="00B92904">
            <w:pPr>
              <w:pStyle w:val="BodyText"/>
              <w:rPr>
                <w:rFonts w:ascii="Arial" w:hAnsi="Arial" w:cs="Arial"/>
                <w:szCs w:val="24"/>
              </w:rPr>
            </w:pPr>
            <w:r w:rsidRPr="00C47E88">
              <w:rPr>
                <w:rFonts w:ascii="Arial" w:hAnsi="Arial" w:cs="Arial"/>
                <w:szCs w:val="24"/>
              </w:rPr>
              <w:t xml:space="preserve">The operator considers this risk assessment is satisfactory. </w:t>
            </w:r>
          </w:p>
          <w:p w14:paraId="53EFE595" w14:textId="77777777" w:rsidR="00B92904" w:rsidRPr="00C47E88" w:rsidRDefault="00B92904" w:rsidP="00B92904">
            <w:pPr>
              <w:pStyle w:val="BodyText"/>
              <w:rPr>
                <w:rFonts w:ascii="Arial" w:hAnsi="Arial" w:cs="Arial"/>
                <w:szCs w:val="24"/>
              </w:rPr>
            </w:pPr>
          </w:p>
          <w:p w14:paraId="35475CA5" w14:textId="77777777" w:rsidR="00B92904" w:rsidRDefault="00B92904" w:rsidP="00B92904">
            <w:pPr>
              <w:pStyle w:val="BodyText"/>
              <w:rPr>
                <w:rFonts w:ascii="Arial" w:hAnsi="Arial" w:cs="Arial"/>
                <w:szCs w:val="24"/>
              </w:rPr>
            </w:pPr>
            <w:r w:rsidRPr="00C47E88">
              <w:rPr>
                <w:rFonts w:ascii="Arial" w:hAnsi="Arial" w:cs="Arial"/>
                <w:szCs w:val="24"/>
              </w:rPr>
              <w:t>The assessment shows that, applying the conservative criteria in our guidance on Environmental Risk Assessment all emissions may be categorised as environmentally insignificant.</w:t>
            </w:r>
          </w:p>
          <w:p w14:paraId="0FF152E9" w14:textId="77777777" w:rsidR="00FB30B4" w:rsidRPr="007820C3" w:rsidRDefault="00FB30B4" w:rsidP="00B92904">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5C338F22" w14:textId="77777777" w:rsidR="00B92904" w:rsidRDefault="00B92904" w:rsidP="00B92904">
            <w:pPr>
              <w:pStyle w:val="BodyText"/>
              <w:rPr>
                <w:rFonts w:ascii="Arial" w:hAnsi="Arial" w:cs="Arial"/>
                <w:szCs w:val="24"/>
              </w:rPr>
            </w:pPr>
            <w:r w:rsidRPr="00C47E88">
              <w:rPr>
                <w:rFonts w:ascii="Arial" w:hAnsi="Arial" w:cs="Arial"/>
                <w:szCs w:val="24"/>
              </w:rPr>
              <w:t xml:space="preserve">We have reviewed the techniques used by the operator and compared these with the relevant guidance notes according to TGN </w:t>
            </w:r>
            <w:proofErr w:type="gramStart"/>
            <w:r w:rsidRPr="00C47E88">
              <w:rPr>
                <w:rFonts w:ascii="Arial" w:hAnsi="Arial" w:cs="Arial"/>
                <w:szCs w:val="24"/>
              </w:rPr>
              <w:t>7.01 .</w:t>
            </w:r>
            <w:proofErr w:type="gramEnd"/>
            <w:r w:rsidRPr="00C47E88">
              <w:rPr>
                <w:rFonts w:ascii="Arial" w:hAnsi="Arial" w:cs="Arial"/>
                <w:szCs w:val="24"/>
              </w:rPr>
              <w:t xml:space="preserve"> The proposed techniques / emission levels for priorities for control are in line with </w:t>
            </w:r>
            <w:r w:rsidRPr="00C47E88">
              <w:rPr>
                <w:rFonts w:ascii="Arial" w:hAnsi="Arial" w:cs="Arial"/>
                <w:szCs w:val="24"/>
              </w:rPr>
              <w:lastRenderedPageBreak/>
              <w:t>the benchmark levels contained in the TGN and we consider them to represent appropriate techniques for the facility.</w:t>
            </w:r>
          </w:p>
          <w:p w14:paraId="0FF152F4" w14:textId="77777777" w:rsidR="00FB30B4" w:rsidRPr="007820C3" w:rsidRDefault="00FB30B4" w:rsidP="00B9290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9290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5F99B2EF" w14:textId="77777777" w:rsidR="0A08D9AA" w:rsidRDefault="00B92904" w:rsidP="396B50C7">
            <w:pPr>
              <w:pStyle w:val="NormalWeb"/>
              <w:rPr>
                <w:rFonts w:ascii="Arial" w:eastAsia="Calibri" w:hAnsi="Arial" w:cs="Arial"/>
              </w:rPr>
            </w:pPr>
            <w:r w:rsidRPr="00C47E88">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C47E88">
              <w:rPr>
                <w:rFonts w:ascii="Arial" w:eastAsia="Calibri" w:hAnsi="Arial" w:cs="Arial"/>
              </w:rPr>
              <w:t>a  groundwater</w:t>
            </w:r>
            <w:proofErr w:type="gramEnd"/>
            <w:r w:rsidRPr="00C47E88">
              <w:rPr>
                <w:rFonts w:ascii="Arial" w:eastAsia="Calibri" w:hAnsi="Arial" w:cs="Arial"/>
              </w:rPr>
              <w:t xml:space="preserve"> discharge activity permit under EPR2016.</w:t>
            </w:r>
          </w:p>
          <w:p w14:paraId="0E33EB74" w14:textId="560A2E29" w:rsidR="00B92904" w:rsidRDefault="00B92904"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347FC98D" w:rsidR="00C44B7E" w:rsidRPr="00B92904" w:rsidRDefault="00C44B7E" w:rsidP="00B92904">
      <w:pPr>
        <w:pStyle w:val="Heading1"/>
        <w:jc w:val="left"/>
        <w:rPr>
          <w:color w:val="FF0000"/>
        </w:rPr>
      </w:pPr>
    </w:p>
    <w:sectPr w:rsidR="00C44B7E" w:rsidRPr="00B92904"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777AA"/>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71B"/>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4F642B"/>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8F7362"/>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92904"/>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5C6"/>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REGU-193-13526399</_dlc_DocId>
    <_dlc_DocIdUrl xmlns="9be56660-2c31-41ef-bc00-23e72f632f2a">
      <Url>https://cyfoethnaturiolcymru.sharepoint.com/teams/Regulatory/Permitting/_layouts/15/DocIdRedir.aspx?ID=REGU-193-13526399</Url>
      <Description>REGU-193-13526399</Description>
    </_dlc_DocIdUrl>
    <License_x002f_Activity_x0020_Type xmlns="859f7ad6-93f6-4205-b62b-a17f28acbbac">4. EPR Water Discharge</License_x002f_Activity_x0020_Type>
    <IconOverlay xmlns="http://schemas.microsoft.com/sharepoint/v4" xsi:nil="true"/>
    <Site_x0020_Name xmlns="859f7ad6-93f6-4205-b62b-a17f28acbbac">Brynderwen</Site_x0020_Name>
    <Internal_x002f_External xmlns="859f7ad6-93f6-4205-b62b-a17f28acbbac">Internal document</Internal_x002f_External>
    <Post_x0020_code xmlns="859f7ad6-93f6-4205-b62b-a17f28acbbac">SA19 9BS</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Brynderwen, Black Mountain Road, SA19 9BS</Addressee>
    <Process_x0020_Type xmlns="859f7ad6-93f6-4205-b62b-a17f28acbbac">Application</Process_x0020_Type>
    <Surrendered_x002f_Expired xmlns="859f7ad6-93f6-4205-b62b-a17f28acbbac" xsi:nil="true"/>
    <Document_x0020_Date xmlns="859f7ad6-93f6-4205-b62b-a17f28acbbac">2021-12-23T00:00:00+00:00</Document_x0020_Date>
    <Facility_x0020_Address xmlns="859f7ad6-93f6-4205-b62b-a17f28acbbac">Black Mountain Road, Llangadog</Facility_x0020_Address>
    <Environment_x0020_Sub_x0020_Folder xmlns="859f7ad6-93f6-4205-b62b-a17f28acbbac">Licences applications</Environment_x0020_Sub_x0020_Folder>
    <Customer_x0020_Name xmlns="859f7ad6-93f6-4205-b62b-a17f28acbbac">Ms Emma Collingswood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C0516DE-8164-459B-999A-361D9AE8B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005db27c-c37f-4c3b-898d-3fee1249b087"/>
    <ds:schemaRef ds:uri="http://purl.org/dc/terms/"/>
    <ds:schemaRef ds:uri="http://schemas.microsoft.com/office/infopath/2007/PartnerControls"/>
    <ds:schemaRef ds:uri="http://schemas.openxmlformats.org/package/2006/metadata/core-properties"/>
    <ds:schemaRef ds:uri="http://purl.org/dc/dcmitype/"/>
    <ds:schemaRef ds:uri="9be56660-2c31-41ef-bc00-23e72f632f2a"/>
    <ds:schemaRef ds:uri="6e121689-de5b-41b9-a751-bfeda7fa2b07"/>
    <ds:schemaRef ds:uri="http://schemas.microsoft.com/office/2006/documentManagement/types"/>
    <ds:schemaRef ds:uri="http://purl.org/dc/elements/1.1/"/>
    <ds:schemaRef ds:uri="http://schemas.microsoft.com/office/2006/metadata/properties"/>
    <ds:schemaRef ds:uri="http://schemas.microsoft.com/sharepoint/v4"/>
    <ds:schemaRef ds:uri="976c396e-0f13-4de6-8381-592a969a477d"/>
    <ds:schemaRef ds:uri="859f7ad6-93f6-4205-b62b-a17f28acbbac"/>
    <ds:schemaRef ds:uri="http://www.w3.org/XML/1998/namespac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1030</Words>
  <Characters>5639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5</cp:revision>
  <cp:lastPrinted>2008-01-30T13:54:00Z</cp:lastPrinted>
  <dcterms:created xsi:type="dcterms:W3CDTF">2021-10-28T12:15:00Z</dcterms:created>
  <dcterms:modified xsi:type="dcterms:W3CDTF">2021-12-23T14:48:00Z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9c064850-9bd3-4301-8d0e-41a2361470a1</vt:lpwstr>
  </property>
  <property fmtid="{D5CDD505-2E9C-101B-9397-08002B2CF9AE}" pid="11" name="SharedWithUsers">
    <vt:lpwstr/>
  </property>
</Properties>
</file>