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5AC9D984" w14:textId="77777777" w:rsidR="00A82395" w:rsidRPr="0005342B" w:rsidRDefault="00E450D5" w:rsidP="00A82395">
      <w:pPr>
        <w:spacing w:after="120"/>
        <w:rPr>
          <w:rFonts w:ascii="Arial" w:hAnsi="Arial" w:cs="Arial"/>
          <w:szCs w:val="24"/>
        </w:rPr>
      </w:pPr>
      <w:r w:rsidRPr="00232CBA">
        <w:rPr>
          <w:rFonts w:ascii="Arial" w:hAnsi="Arial" w:cs="Arial"/>
          <w:szCs w:val="24"/>
        </w:rPr>
        <w:t xml:space="preserve">We have decided to </w:t>
      </w:r>
      <w:r w:rsidR="009277B2" w:rsidRPr="00A82395">
        <w:rPr>
          <w:rFonts w:ascii="Arial" w:hAnsi="Arial" w:cs="Arial"/>
          <w:szCs w:val="24"/>
        </w:rPr>
        <w:t>issue</w:t>
      </w:r>
      <w:r w:rsidRPr="00A82395">
        <w:rPr>
          <w:rFonts w:ascii="Arial" w:hAnsi="Arial" w:cs="Arial"/>
          <w:szCs w:val="24"/>
        </w:rPr>
        <w:t xml:space="preserve"> the</w:t>
      </w:r>
      <w:r w:rsidR="008D465D" w:rsidRPr="00A82395">
        <w:rPr>
          <w:rFonts w:ascii="Arial" w:hAnsi="Arial" w:cs="Arial"/>
          <w:szCs w:val="24"/>
        </w:rPr>
        <w:t xml:space="preserve"> </w:t>
      </w:r>
      <w:r w:rsidR="004D6352" w:rsidRPr="00A82395">
        <w:rPr>
          <w:rFonts w:ascii="Arial" w:hAnsi="Arial" w:cs="Arial"/>
          <w:szCs w:val="24"/>
        </w:rPr>
        <w:t xml:space="preserve">variation </w:t>
      </w:r>
      <w:r w:rsidRPr="00A82395">
        <w:rPr>
          <w:rFonts w:ascii="Arial" w:hAnsi="Arial" w:cs="Arial"/>
          <w:szCs w:val="24"/>
        </w:rPr>
        <w:t>for</w:t>
      </w:r>
      <w:r w:rsidRPr="00FC6E3F">
        <w:rPr>
          <w:rFonts w:ascii="Arial" w:hAnsi="Arial" w:cs="Arial"/>
          <w:color w:val="FF00FF"/>
          <w:szCs w:val="24"/>
        </w:rPr>
        <w:t xml:space="preserve"> </w:t>
      </w:r>
      <w:bookmarkStart w:id="0" w:name="_Hlk52979710"/>
      <w:r w:rsidR="00A82395" w:rsidRPr="0005342B">
        <w:rPr>
          <w:rFonts w:ascii="Arial" w:hAnsi="Arial" w:cs="Arial"/>
          <w:szCs w:val="24"/>
          <w:lang w:val="en-US"/>
        </w:rPr>
        <w:t>AMG Resources Limited</w:t>
      </w:r>
      <w:bookmarkEnd w:id="0"/>
      <w:r w:rsidR="00A82395" w:rsidRPr="0005342B">
        <w:rPr>
          <w:rFonts w:ascii="Arial" w:hAnsi="Arial" w:cs="Arial"/>
          <w:szCs w:val="24"/>
          <w:lang w:val="en-US"/>
        </w:rPr>
        <w:t xml:space="preserve">, </w:t>
      </w:r>
      <w:proofErr w:type="spellStart"/>
      <w:r w:rsidR="00A82395" w:rsidRPr="0005342B">
        <w:rPr>
          <w:rFonts w:ascii="Arial" w:hAnsi="Arial" w:cs="Arial"/>
          <w:lang w:val="en-US" w:eastAsia="en-US"/>
        </w:rPr>
        <w:t>Nevills</w:t>
      </w:r>
      <w:proofErr w:type="spellEnd"/>
      <w:r w:rsidR="00A82395" w:rsidRPr="0005342B">
        <w:rPr>
          <w:rFonts w:ascii="Arial" w:hAnsi="Arial" w:cs="Arial"/>
          <w:lang w:val="en-US" w:eastAsia="en-US"/>
        </w:rPr>
        <w:t xml:space="preserve"> Dock</w:t>
      </w:r>
      <w:r w:rsidR="00A82395" w:rsidRPr="0005342B">
        <w:rPr>
          <w:rFonts w:ascii="Arial" w:hAnsi="Arial" w:cs="Arial"/>
          <w:szCs w:val="24"/>
        </w:rPr>
        <w:t xml:space="preserve"> operated by </w:t>
      </w:r>
      <w:r w:rsidR="00A82395" w:rsidRPr="0005342B">
        <w:rPr>
          <w:rFonts w:ascii="Arial" w:hAnsi="Arial" w:cs="Arial"/>
          <w:szCs w:val="24"/>
          <w:lang w:val="en-US"/>
        </w:rPr>
        <w:t>AMG Resources Limited.</w:t>
      </w:r>
    </w:p>
    <w:p w14:paraId="59C84BC6" w14:textId="5788616C" w:rsidR="00A82395" w:rsidRPr="00A82395" w:rsidRDefault="00A82395" w:rsidP="00A82395">
      <w:pPr>
        <w:spacing w:after="120"/>
        <w:rPr>
          <w:rFonts w:ascii="Arial" w:hAnsi="Arial"/>
          <w:color w:val="000000"/>
        </w:rPr>
      </w:pPr>
      <w:r w:rsidRPr="00A82395">
        <w:rPr>
          <w:rFonts w:ascii="Arial" w:hAnsi="Arial"/>
          <w:color w:val="000000"/>
        </w:rPr>
        <w:t>The</w:t>
      </w:r>
      <w:r w:rsidRPr="00A82395">
        <w:rPr>
          <w:rFonts w:ascii="Arial" w:hAnsi="Arial"/>
          <w:b/>
          <w:color w:val="000000"/>
        </w:rPr>
        <w:t xml:space="preserve"> </w:t>
      </w:r>
      <w:r w:rsidRPr="00A82395">
        <w:rPr>
          <w:rFonts w:ascii="Arial" w:hAnsi="Arial"/>
          <w:color w:val="000000"/>
        </w:rPr>
        <w:t>variation number is EPR/</w:t>
      </w:r>
      <w:proofErr w:type="gramStart"/>
      <w:r w:rsidRPr="00A82395">
        <w:rPr>
          <w:rFonts w:ascii="Arial" w:hAnsi="Arial"/>
          <w:color w:val="000000"/>
        </w:rPr>
        <w:t>BB3793ND</w:t>
      </w:r>
      <w:proofErr w:type="gramEnd"/>
      <w:r w:rsidRPr="00A82395">
        <w:rPr>
          <w:rFonts w:ascii="Arial" w:hAnsi="Arial"/>
          <w:color w:val="000000"/>
        </w:rPr>
        <w:t>/V00</w:t>
      </w:r>
      <w:r>
        <w:rPr>
          <w:rFonts w:ascii="Arial" w:hAnsi="Arial"/>
          <w:color w:val="000000"/>
        </w:rPr>
        <w:t>3</w:t>
      </w:r>
      <w:r w:rsidRPr="00A82395">
        <w:rPr>
          <w:rFonts w:ascii="Arial" w:hAnsi="Arial"/>
          <w:color w:val="000000"/>
        </w:rPr>
        <w:t xml:space="preserve"> </w:t>
      </w:r>
    </w:p>
    <w:p w14:paraId="2951BC3D" w14:textId="740FC391"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A" w14:textId="253A8059" w:rsidR="00FB19FC" w:rsidRPr="00544C49" w:rsidRDefault="00FB19FC" w:rsidP="00921C40">
      <w:pPr>
        <w:tabs>
          <w:tab w:val="num" w:pos="720"/>
        </w:tabs>
        <w:spacing w:after="120"/>
        <w:ind w:left="720" w:hanging="360"/>
        <w:rPr>
          <w:color w:val="0000FF"/>
          <w:szCs w:val="24"/>
        </w:rPr>
      </w:pPr>
      <w:r w:rsidRPr="00544C49">
        <w:rPr>
          <w:rFonts w:eastAsia="Arial"/>
          <w:color w:val="FF00FF"/>
          <w:sz w:val="14"/>
          <w:szCs w:val="14"/>
        </w:rPr>
        <w:t xml:space="preserve">          </w:t>
      </w: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505A9592"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A82395">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161042">
        <w:tc>
          <w:tcPr>
            <w:tcW w:w="1951" w:type="dxa"/>
            <w:shd w:val="clear" w:color="auto" w:fill="auto"/>
          </w:tcPr>
          <w:p w14:paraId="6FCDB99E" w14:textId="3B09E5B4" w:rsidR="00E9011B" w:rsidRPr="00161042" w:rsidRDefault="00E9011B" w:rsidP="00E9011B">
            <w:pPr>
              <w:rPr>
                <w:rFonts w:ascii="Arial" w:hAnsi="Arial" w:cs="Arial"/>
              </w:rPr>
            </w:pPr>
            <w:r w:rsidRPr="00161042">
              <w:rPr>
                <w:rFonts w:ascii="Arial" w:hAnsi="Arial" w:cs="Arial"/>
              </w:rPr>
              <w:t>Consideration of Section 6</w:t>
            </w:r>
          </w:p>
        </w:tc>
        <w:tc>
          <w:tcPr>
            <w:tcW w:w="6096" w:type="dxa"/>
            <w:shd w:val="clear" w:color="auto" w:fill="auto"/>
          </w:tcPr>
          <w:p w14:paraId="05BDEE48" w14:textId="58E20508" w:rsidR="00E9011B" w:rsidRPr="00161042" w:rsidRDefault="00E9011B" w:rsidP="00E9011B">
            <w:pPr>
              <w:pStyle w:val="NormalWeb"/>
              <w:spacing w:before="60"/>
              <w:rPr>
                <w:rFonts w:ascii="Arial" w:hAnsi="Arial" w:cs="Arial"/>
              </w:rPr>
            </w:pPr>
            <w:r w:rsidRPr="00161042">
              <w:rPr>
                <w:rFonts w:ascii="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00161042">
              <w:rPr>
                <w:i/>
                <w:iCs/>
              </w:rPr>
              <w:t>,</w:t>
            </w:r>
            <w:r w:rsidRPr="00161042">
              <w:rPr>
                <w:i/>
                <w:iCs/>
                <w:color w:val="0070C0"/>
              </w:rPr>
              <w:t xml:space="preserve"> </w:t>
            </w:r>
            <w:r w:rsidRPr="00161042">
              <w:rPr>
                <w:rFonts w:ascii="Arial" w:hAnsi="Arial" w:cs="Arial"/>
              </w:rPr>
              <w:t>we have taken into account and had due regard to this duty in so far as it is consistent with the function of determining an application for an EPR permit.</w:t>
            </w:r>
          </w:p>
          <w:p w14:paraId="4256E333" w14:textId="71E7EBFB" w:rsidR="00E9011B" w:rsidRPr="00161042" w:rsidRDefault="00E9011B" w:rsidP="00E9011B">
            <w:pPr>
              <w:pStyle w:val="NormalWeb"/>
              <w:rPr>
                <w:rFonts w:ascii="Arial" w:hAnsi="Arial" w:cs="Arial"/>
                <w:lang w:eastAsia="en-US"/>
              </w:rPr>
            </w:pPr>
            <w:r w:rsidRPr="00161042">
              <w:rPr>
                <w:rFonts w:ascii="Arial" w:hAnsi="Arial" w:cs="Arial"/>
                <w:color w:val="FF00FF"/>
              </w:rPr>
              <w:t xml:space="preserve"> </w:t>
            </w:r>
          </w:p>
        </w:tc>
        <w:tc>
          <w:tcPr>
            <w:tcW w:w="1134" w:type="dxa"/>
          </w:tcPr>
          <w:p w14:paraId="1A56FEA9" w14:textId="607A9D57" w:rsidR="00E9011B" w:rsidRPr="00161042" w:rsidRDefault="00E9011B" w:rsidP="00E9011B">
            <w:pPr>
              <w:rPr>
                <w:rFonts w:ascii="Wingdings" w:hAnsi="Wingdings"/>
                <w:color w:val="000000"/>
              </w:rPr>
            </w:pPr>
            <w:r w:rsidRPr="00161042">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0E5F271F" w:rsidR="00E9011B" w:rsidRPr="000141CC" w:rsidRDefault="00E9011B" w:rsidP="00E9011B">
            <w:pPr>
              <w:rPr>
                <w:rFonts w:ascii="Arial" w:hAnsi="Arial" w:cs="Arial"/>
                <w:color w:val="FF00FF"/>
                <w:szCs w:val="24"/>
              </w:rPr>
            </w:pPr>
          </w:p>
        </w:tc>
        <w:tc>
          <w:tcPr>
            <w:tcW w:w="6096" w:type="dxa"/>
          </w:tcPr>
          <w:p w14:paraId="53E22E45" w14:textId="449FF498" w:rsidR="00F931FB" w:rsidRPr="00DA70FE" w:rsidRDefault="00E9011B" w:rsidP="00F931FB">
            <w:pPr>
              <w:spacing w:before="60"/>
              <w:rPr>
                <w:rFonts w:ascii="Arial" w:hAnsi="Arial" w:cs="Arial"/>
                <w:szCs w:val="24"/>
              </w:rPr>
            </w:pPr>
            <w:r w:rsidRPr="000141CC">
              <w:rPr>
                <w:rFonts w:ascii="Arial" w:hAnsi="Arial" w:cs="Arial"/>
                <w:szCs w:val="24"/>
              </w:rPr>
              <w:t xml:space="preserve">The operator has provided a plan which we consider is satisfactory, showing the extent of the site of the </w:t>
            </w:r>
            <w:proofErr w:type="gramStart"/>
            <w:r w:rsidRPr="000141CC">
              <w:rPr>
                <w:rFonts w:ascii="Arial" w:hAnsi="Arial" w:cs="Arial"/>
                <w:szCs w:val="24"/>
              </w:rPr>
              <w:t>facility</w:t>
            </w:r>
            <w:r w:rsidR="00F931FB">
              <w:rPr>
                <w:rFonts w:ascii="Arial" w:hAnsi="Arial" w:cs="Arial"/>
                <w:szCs w:val="24"/>
              </w:rPr>
              <w:t xml:space="preserve"> </w:t>
            </w:r>
            <w:r w:rsidR="00F931FB" w:rsidRPr="00AC60C5">
              <w:rPr>
                <w:rFonts w:ascii="Arial" w:hAnsi="Arial" w:cs="Arial"/>
                <w:szCs w:val="24"/>
              </w:rPr>
              <w:t xml:space="preserve"> after</w:t>
            </w:r>
            <w:proofErr w:type="gramEnd"/>
            <w:r w:rsidR="00F931FB" w:rsidRPr="00AC60C5">
              <w:rPr>
                <w:rFonts w:ascii="Arial" w:hAnsi="Arial" w:cs="Arial"/>
                <w:szCs w:val="24"/>
              </w:rPr>
              <w:t xml:space="preserve"> the increase to permitted boundary under the variation applied for.</w:t>
            </w:r>
          </w:p>
          <w:p w14:paraId="0AB2F49F" w14:textId="77777777" w:rsidR="00F931FB" w:rsidRDefault="00F931FB" w:rsidP="00E9011B">
            <w:pPr>
              <w:pStyle w:val="BodyText"/>
              <w:rPr>
                <w:rFonts w:ascii="Arial" w:hAnsi="Arial" w:cs="Arial"/>
                <w:szCs w:val="24"/>
              </w:rPr>
            </w:pPr>
          </w:p>
          <w:p w14:paraId="2951BC7F" w14:textId="37D53DDC" w:rsidR="00E9011B" w:rsidRPr="000141CC" w:rsidRDefault="00E9011B" w:rsidP="00E9011B">
            <w:pPr>
              <w:pStyle w:val="BodyText"/>
              <w:rPr>
                <w:rFonts w:ascii="Arial" w:hAnsi="Arial" w:cs="Arial"/>
                <w:szCs w:val="24"/>
              </w:rPr>
            </w:pPr>
            <w:r w:rsidRPr="000141CC">
              <w:rPr>
                <w:rFonts w:ascii="Arial" w:hAnsi="Arial" w:cs="Arial"/>
                <w:szCs w:val="24"/>
              </w:rPr>
              <w:t>A plan is included in the permit and the operator is required to carry on the permitted activities within the site boundary.</w:t>
            </w:r>
          </w:p>
          <w:p w14:paraId="2951BC81" w14:textId="77777777" w:rsidR="00E9011B" w:rsidRPr="000141CC" w:rsidRDefault="00E9011B" w:rsidP="00F931FB">
            <w:pPr>
              <w:rPr>
                <w:rFonts w:ascii="Arial" w:hAnsi="Arial" w:cs="Arial"/>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C8" w14:textId="77777777" w:rsidR="00C44B7E" w:rsidRDefault="00C44B7E" w:rsidP="00053DA9">
      <w:pPr>
        <w:rPr>
          <w:rFonts w:ascii="Arial" w:hAnsi="Arial"/>
          <w:b/>
          <w:sz w:val="28"/>
        </w:rPr>
      </w:pP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1309"/>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104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1C40"/>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395"/>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31FB"/>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357</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Palmer, Anna</cp:lastModifiedBy>
  <cp:revision>16</cp:revision>
  <cp:lastPrinted>2010-03-19T12:06:00Z</cp:lastPrinted>
  <dcterms:created xsi:type="dcterms:W3CDTF">2013-03-28T11:14:00Z</dcterms:created>
  <dcterms:modified xsi:type="dcterms:W3CDTF">2021-12-17T09:24:00Z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