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61FE7" w:rsidRDefault="003719AD" w:rsidP="003719AD">
      <w:pPr>
        <w:pStyle w:val="Heading1"/>
        <w:spacing w:before="0" w:after="0"/>
        <w:jc w:val="left"/>
        <w:rPr>
          <w:bCs/>
          <w:color w:val="auto"/>
          <w:sz w:val="24"/>
          <w:szCs w:val="24"/>
        </w:rPr>
      </w:pPr>
    </w:p>
    <w:p w14:paraId="0FF15249" w14:textId="60039367" w:rsidR="00D04424" w:rsidRPr="00361FE7" w:rsidRDefault="0014332B" w:rsidP="003719AD">
      <w:pPr>
        <w:pStyle w:val="Heading1"/>
        <w:spacing w:before="0" w:after="0"/>
        <w:jc w:val="left"/>
        <w:rPr>
          <w:bCs/>
          <w:color w:val="auto"/>
          <w:sz w:val="32"/>
        </w:rPr>
      </w:pPr>
      <w:r w:rsidRPr="00361FE7">
        <w:rPr>
          <w:bCs/>
          <w:color w:val="auto"/>
          <w:sz w:val="32"/>
        </w:rPr>
        <w:t>Bespoke p</w:t>
      </w:r>
      <w:r w:rsidR="00D04424" w:rsidRPr="00361FE7">
        <w:rPr>
          <w:bCs/>
          <w:color w:val="auto"/>
          <w:sz w:val="32"/>
        </w:rPr>
        <w:t>ermit</w:t>
      </w:r>
      <w:r w:rsidR="00B73ECB" w:rsidRPr="00361FE7">
        <w:rPr>
          <w:bCs/>
          <w:color w:val="auto"/>
          <w:sz w:val="32"/>
        </w:rPr>
        <w:t xml:space="preserve"> </w:t>
      </w:r>
    </w:p>
    <w:p w14:paraId="41AC372F" w14:textId="77777777" w:rsidR="00136717" w:rsidRPr="00361FE7" w:rsidRDefault="00136717" w:rsidP="00136717"/>
    <w:p w14:paraId="0FF1524F" w14:textId="77777777" w:rsidR="007820C3" w:rsidRPr="00361FE7" w:rsidRDefault="007820C3" w:rsidP="00D04424">
      <w:pPr>
        <w:rPr>
          <w:rFonts w:ascii="Arial" w:hAnsi="Arial" w:cs="Arial"/>
          <w:szCs w:val="24"/>
        </w:rPr>
      </w:pPr>
    </w:p>
    <w:p w14:paraId="0FF15250" w14:textId="44FC7399" w:rsidR="00D04424" w:rsidRPr="00361FE7" w:rsidRDefault="0060457F" w:rsidP="006B0BFB">
      <w:pPr>
        <w:spacing w:after="120"/>
        <w:rPr>
          <w:rFonts w:ascii="Arial" w:hAnsi="Arial" w:cs="Arial"/>
          <w:szCs w:val="24"/>
        </w:rPr>
      </w:pPr>
      <w:r w:rsidRPr="00361FE7">
        <w:rPr>
          <w:rFonts w:ascii="Arial" w:hAnsi="Arial" w:cs="Arial"/>
          <w:szCs w:val="24"/>
        </w:rPr>
        <w:t xml:space="preserve">We have decided to </w:t>
      </w:r>
      <w:r w:rsidR="00D2020E" w:rsidRPr="00361FE7">
        <w:rPr>
          <w:rFonts w:ascii="Arial" w:hAnsi="Arial" w:cs="Arial"/>
          <w:szCs w:val="24"/>
        </w:rPr>
        <w:t xml:space="preserve">grant </w:t>
      </w:r>
      <w:r w:rsidRPr="00361FE7">
        <w:rPr>
          <w:rFonts w:ascii="Arial" w:hAnsi="Arial" w:cs="Arial"/>
          <w:szCs w:val="24"/>
        </w:rPr>
        <w:t xml:space="preserve">the permit for </w:t>
      </w:r>
      <w:r w:rsidR="00361FE7" w:rsidRPr="00361FE7">
        <w:rPr>
          <w:rFonts w:ascii="Arial" w:hAnsi="Arial" w:cs="Arial"/>
          <w:szCs w:val="24"/>
        </w:rPr>
        <w:t xml:space="preserve">A465 section 5 and 6 </w:t>
      </w:r>
      <w:proofErr w:type="spellStart"/>
      <w:r w:rsidR="00361FE7" w:rsidRPr="00361FE7">
        <w:rPr>
          <w:rFonts w:ascii="Arial" w:hAnsi="Arial" w:cs="Arial"/>
          <w:szCs w:val="24"/>
        </w:rPr>
        <w:t>Dowlais</w:t>
      </w:r>
      <w:proofErr w:type="spellEnd"/>
      <w:r w:rsidR="00361FE7" w:rsidRPr="00361FE7">
        <w:rPr>
          <w:rFonts w:ascii="Arial" w:hAnsi="Arial" w:cs="Arial"/>
          <w:szCs w:val="24"/>
        </w:rPr>
        <w:t xml:space="preserve"> Top to </w:t>
      </w:r>
      <w:proofErr w:type="spellStart"/>
      <w:r w:rsidR="00361FE7" w:rsidRPr="00361FE7">
        <w:rPr>
          <w:rFonts w:ascii="Arial" w:hAnsi="Arial" w:cs="Arial"/>
          <w:szCs w:val="24"/>
        </w:rPr>
        <w:t>Hirwaun</w:t>
      </w:r>
      <w:proofErr w:type="spellEnd"/>
      <w:r w:rsidR="00361FE7" w:rsidRPr="00361FE7">
        <w:rPr>
          <w:rFonts w:ascii="Arial" w:hAnsi="Arial" w:cs="Arial"/>
          <w:szCs w:val="24"/>
        </w:rPr>
        <w:t xml:space="preserve"> – </w:t>
      </w:r>
      <w:proofErr w:type="spellStart"/>
      <w:r w:rsidR="00361FE7" w:rsidRPr="00361FE7">
        <w:rPr>
          <w:rFonts w:ascii="Arial" w:hAnsi="Arial" w:cs="Arial"/>
          <w:szCs w:val="24"/>
        </w:rPr>
        <w:t>Trewaun</w:t>
      </w:r>
      <w:proofErr w:type="spellEnd"/>
      <w:r w:rsidR="00361FE7" w:rsidRPr="00361FE7">
        <w:rPr>
          <w:rFonts w:ascii="Arial" w:hAnsi="Arial" w:cs="Arial"/>
          <w:szCs w:val="24"/>
        </w:rPr>
        <w:t xml:space="preserve"> Site</w:t>
      </w:r>
      <w:r w:rsidR="00361FE7">
        <w:rPr>
          <w:rFonts w:ascii="Arial" w:hAnsi="Arial" w:cs="Arial"/>
          <w:szCs w:val="24"/>
        </w:rPr>
        <w:t>,</w:t>
      </w:r>
      <w:r w:rsidR="00361FE7" w:rsidRPr="00361FE7">
        <w:rPr>
          <w:rFonts w:ascii="Arial" w:hAnsi="Arial" w:cs="Arial"/>
          <w:szCs w:val="24"/>
        </w:rPr>
        <w:t xml:space="preserve"> </w:t>
      </w:r>
      <w:r w:rsidRPr="00361FE7">
        <w:rPr>
          <w:rFonts w:ascii="Arial" w:hAnsi="Arial" w:cs="Arial"/>
          <w:szCs w:val="24"/>
        </w:rPr>
        <w:t xml:space="preserve">operated by </w:t>
      </w:r>
      <w:r w:rsidR="00361FE7" w:rsidRPr="00361FE7">
        <w:rPr>
          <w:rFonts w:ascii="Arial" w:hAnsi="Arial" w:cs="Arial"/>
          <w:szCs w:val="24"/>
        </w:rPr>
        <w:t xml:space="preserve">FCC </w:t>
      </w:r>
      <w:proofErr w:type="spellStart"/>
      <w:r w:rsidR="00361FE7" w:rsidRPr="00361FE7">
        <w:rPr>
          <w:rFonts w:ascii="Arial" w:hAnsi="Arial" w:cs="Arial"/>
          <w:szCs w:val="24"/>
        </w:rPr>
        <w:t>Construccion</w:t>
      </w:r>
      <w:proofErr w:type="spellEnd"/>
      <w:r w:rsidR="00361FE7" w:rsidRPr="00361FE7">
        <w:rPr>
          <w:rFonts w:ascii="Arial" w:hAnsi="Arial" w:cs="Arial"/>
          <w:szCs w:val="24"/>
        </w:rPr>
        <w:t>.</w:t>
      </w:r>
    </w:p>
    <w:p w14:paraId="178F17B4" w14:textId="3C419368" w:rsidR="00E907C6" w:rsidRPr="00361FE7" w:rsidRDefault="00E907C6" w:rsidP="006B0BFB">
      <w:pPr>
        <w:tabs>
          <w:tab w:val="left" w:pos="4253"/>
          <w:tab w:val="left" w:pos="6804"/>
        </w:tabs>
        <w:spacing w:after="120"/>
        <w:rPr>
          <w:rFonts w:ascii="Arial" w:hAnsi="Arial"/>
          <w:kern w:val="28"/>
          <w:szCs w:val="24"/>
        </w:rPr>
      </w:pPr>
      <w:bookmarkStart w:id="0" w:name="OLE_LINK1"/>
      <w:bookmarkStart w:id="1" w:name="OLE_LINK2"/>
      <w:r w:rsidRPr="00361FE7">
        <w:rPr>
          <w:rFonts w:ascii="Arial" w:hAnsi="Arial"/>
          <w:kern w:val="28"/>
          <w:szCs w:val="24"/>
        </w:rPr>
        <w:t xml:space="preserve">The application number is </w:t>
      </w:r>
      <w:r w:rsidR="00361FE7" w:rsidRPr="00B26C5F">
        <w:rPr>
          <w:rFonts w:ascii="Arial" w:hAnsi="Arial"/>
          <w:b/>
          <w:bCs/>
          <w:szCs w:val="24"/>
        </w:rPr>
        <w:t>PAN-015813</w:t>
      </w:r>
    </w:p>
    <w:p w14:paraId="60F615CE" w14:textId="325B635B" w:rsidR="00E80F83" w:rsidRDefault="00D04424" w:rsidP="00E80F83">
      <w:pPr>
        <w:tabs>
          <w:tab w:val="left" w:pos="4253"/>
          <w:tab w:val="left" w:pos="6804"/>
        </w:tabs>
        <w:spacing w:after="120"/>
        <w:rPr>
          <w:rFonts w:ascii="Arial" w:hAnsi="Arial"/>
          <w:b/>
          <w:bCs/>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End w:id="0"/>
      <w:bookmarkEnd w:id="1"/>
      <w:r w:rsidR="00E80F83" w:rsidRPr="00E80F83">
        <w:rPr>
          <w:rFonts w:ascii="Arial" w:hAnsi="Arial"/>
          <w:b/>
          <w:bCs/>
          <w:szCs w:val="24"/>
        </w:rPr>
        <w:t>EPR/</w:t>
      </w:r>
      <w:r w:rsidR="00E80F83" w:rsidRPr="00E80F83">
        <w:rPr>
          <w:rFonts w:ascii="Arial" w:hAnsi="Arial"/>
          <w:b/>
          <w:bCs/>
          <w:szCs w:val="24"/>
        </w:rPr>
        <w:t>CB3497FE</w:t>
      </w:r>
      <w:r w:rsidR="00E80F83" w:rsidRPr="00E80F83">
        <w:rPr>
          <w:rFonts w:ascii="Arial" w:hAnsi="Arial"/>
          <w:b/>
          <w:bCs/>
          <w:szCs w:val="24"/>
        </w:rPr>
        <w:t xml:space="preserve"> </w:t>
      </w:r>
    </w:p>
    <w:p w14:paraId="0AF6A162" w14:textId="6EC399F4" w:rsidR="00361FE7" w:rsidRPr="00361FE7" w:rsidRDefault="00361FE7" w:rsidP="00E80F83">
      <w:pPr>
        <w:tabs>
          <w:tab w:val="left" w:pos="4253"/>
          <w:tab w:val="left" w:pos="6804"/>
        </w:tabs>
        <w:spacing w:after="120"/>
        <w:rPr>
          <w:rFonts w:ascii="Arial" w:hAnsi="Arial"/>
          <w:color w:val="000000"/>
        </w:rPr>
      </w:pPr>
      <w:r w:rsidRPr="00361FE7">
        <w:rPr>
          <w:rFonts w:ascii="Arial" w:hAnsi="Arial"/>
          <w:color w:val="000000"/>
        </w:rPr>
        <w:t>The permit regulates the discharge of rainfall dependent site drainage and dewatering of excavations during road construction along the A465. Treated runoff and excavation waters will be discharged at a maximum rate of 13.8 l/s to a surface water culvert leading to the Afon Cynon.</w:t>
      </w:r>
    </w:p>
    <w:p w14:paraId="563B99A8" w14:textId="77777777" w:rsidR="00361FE7" w:rsidRPr="00361FE7" w:rsidRDefault="00361FE7" w:rsidP="00361FE7">
      <w:pPr>
        <w:spacing w:after="120"/>
        <w:rPr>
          <w:rFonts w:ascii="Arial" w:hAnsi="Arial"/>
          <w:color w:val="000000"/>
        </w:rPr>
      </w:pPr>
      <w:r w:rsidRPr="00361FE7">
        <w:rPr>
          <w:rFonts w:ascii="Arial" w:hAnsi="Arial"/>
          <w:color w:val="000000"/>
        </w:rPr>
        <w:t xml:space="preserve">Treatment consists of a 1848m3 settlement lagoon, followed by chemical settlement using flocculants and coagulants and pH correction. Chemical settlement will take place using an onsite </w:t>
      </w:r>
      <w:proofErr w:type="spellStart"/>
      <w:r w:rsidRPr="00361FE7">
        <w:rPr>
          <w:rFonts w:ascii="Arial" w:hAnsi="Arial"/>
          <w:color w:val="000000"/>
        </w:rPr>
        <w:t>Siltbuster</w:t>
      </w:r>
      <w:proofErr w:type="spellEnd"/>
      <w:r w:rsidRPr="00361FE7">
        <w:rPr>
          <w:rFonts w:ascii="Arial" w:hAnsi="Arial"/>
          <w:color w:val="000000"/>
        </w:rPr>
        <w:t xml:space="preserve"> treatment system which is located adjacent to a slurry pond to allow for desludging of the unit. The coagulant “PAC Brenntag” will be added to the unit at a maximum dose rate of 20mg/l at a flow rate of 40m3/hr. The flocculant “EM533 </w:t>
      </w:r>
      <w:proofErr w:type="spellStart"/>
      <w:r w:rsidRPr="00361FE7">
        <w:rPr>
          <w:rFonts w:ascii="Arial" w:hAnsi="Arial"/>
          <w:color w:val="000000"/>
        </w:rPr>
        <w:t>AquaTreat</w:t>
      </w:r>
      <w:proofErr w:type="spellEnd"/>
      <w:r w:rsidRPr="00361FE7">
        <w:rPr>
          <w:rFonts w:ascii="Arial" w:hAnsi="Arial"/>
          <w:color w:val="000000"/>
        </w:rPr>
        <w:t>” will be added to the unit at a maximum dose rate of 2mg/l at a flow rate of 40m3/hr. If required, Sodium Hydroxide (Caustic Soda Liquor) will be added at a maximum dose rate of 50mg/l at a flow rate of 40m3/hr for pH correction purposes.</w:t>
      </w:r>
    </w:p>
    <w:p w14:paraId="0FF15253" w14:textId="7C62A07C" w:rsidR="00D04424" w:rsidRDefault="00361FE7" w:rsidP="00361FE7">
      <w:pPr>
        <w:spacing w:after="120"/>
        <w:rPr>
          <w:rFonts w:ascii="Arial" w:hAnsi="Arial"/>
        </w:rPr>
      </w:pPr>
      <w:r w:rsidRPr="00361FE7">
        <w:rPr>
          <w:rFonts w:ascii="Arial" w:hAnsi="Arial"/>
          <w:color w:val="000000"/>
        </w:rPr>
        <w:t xml:space="preserve">Numeric limits have been put in place for suspended solids (25 mg/l) and a neutral range of 6-9 has been imposed for </w:t>
      </w:r>
      <w:proofErr w:type="spellStart"/>
      <w:r w:rsidRPr="00361FE7">
        <w:rPr>
          <w:rFonts w:ascii="Arial" w:hAnsi="Arial"/>
          <w:color w:val="000000"/>
        </w:rPr>
        <w:t>pH.</w:t>
      </w:r>
      <w:proofErr w:type="spellEnd"/>
      <w:r w:rsidRPr="00361FE7">
        <w:rPr>
          <w:rFonts w:ascii="Arial" w:hAnsi="Arial"/>
          <w:color w:val="000000"/>
        </w:rPr>
        <w:t xml:space="preserve"> </w:t>
      </w:r>
      <w:r w:rsidR="00D04424">
        <w:rPr>
          <w:rFonts w:ascii="Arial" w:hAnsi="Arial"/>
        </w:rPr>
        <w:t xml:space="preserve">We consider in reaching that decision we have </w:t>
      </w:r>
      <w:proofErr w:type="gramStart"/>
      <w:r w:rsidR="00D04424">
        <w:rPr>
          <w:rFonts w:ascii="Arial" w:hAnsi="Arial"/>
        </w:rPr>
        <w:t>taken into account</w:t>
      </w:r>
      <w:proofErr w:type="gramEnd"/>
      <w:r w:rsidR="00D04424">
        <w:rPr>
          <w:rFonts w:ascii="Arial" w:hAnsi="Arial"/>
        </w:rPr>
        <w:t xml:space="preserve"> all relevant considerations and legal requirements and that the permit will ensure that the appropriate level of environment</w:t>
      </w:r>
      <w:r w:rsidR="007820C3">
        <w:rPr>
          <w:rFonts w:ascii="Arial" w:hAnsi="Arial"/>
        </w:rPr>
        <w:t>al</w:t>
      </w:r>
      <w:r w:rsidR="00D04424">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4225DCA" w:rsidR="007820C3" w:rsidRPr="00361FE7" w:rsidRDefault="007820C3" w:rsidP="007820C3">
            <w:pPr>
              <w:pStyle w:val="Heading3"/>
              <w:spacing w:before="60"/>
              <w:rPr>
                <w:rFonts w:ascii="Arial" w:hAnsi="Arial" w:cs="Arial"/>
                <w:b w:val="0"/>
                <w:szCs w:val="24"/>
                <w:highlight w:val="red"/>
              </w:rPr>
            </w:pPr>
            <w:r w:rsidRPr="00361FE7">
              <w:rPr>
                <w:rFonts w:ascii="Arial" w:hAnsi="Arial" w:cs="Arial"/>
                <w:b w:val="0"/>
                <w:szCs w:val="24"/>
              </w:rPr>
              <w:t>Responses to web publicising</w:t>
            </w:r>
            <w:r w:rsidR="00361FE7" w:rsidRPr="00361FE7">
              <w:rPr>
                <w:rFonts w:ascii="Arial" w:hAnsi="Arial" w:cs="Arial"/>
                <w:b w:val="0"/>
                <w:szCs w:val="24"/>
              </w:rPr>
              <w:t>.</w:t>
            </w:r>
          </w:p>
        </w:tc>
        <w:tc>
          <w:tcPr>
            <w:tcW w:w="6266" w:type="dxa"/>
            <w:tcBorders>
              <w:bottom w:val="single" w:sz="4" w:space="0" w:color="auto"/>
            </w:tcBorders>
          </w:tcPr>
          <w:p w14:paraId="0FF1529A" w14:textId="1399E488" w:rsidR="007820C3" w:rsidRPr="00361FE7" w:rsidRDefault="007820C3" w:rsidP="007820C3">
            <w:pPr>
              <w:spacing w:before="60"/>
              <w:rPr>
                <w:rFonts w:ascii="Arial" w:hAnsi="Arial" w:cs="Arial"/>
                <w:szCs w:val="24"/>
              </w:rPr>
            </w:pPr>
            <w:r w:rsidRPr="00361FE7">
              <w:rPr>
                <w:rFonts w:ascii="Arial" w:hAnsi="Arial" w:cs="Arial"/>
                <w:szCs w:val="24"/>
              </w:rPr>
              <w:t>The web publicising</w:t>
            </w:r>
            <w:r w:rsidR="00361FE7" w:rsidRPr="00361FE7">
              <w:rPr>
                <w:rFonts w:ascii="Arial" w:hAnsi="Arial" w:cs="Arial"/>
                <w:szCs w:val="24"/>
              </w:rPr>
              <w:t xml:space="preserve"> </w:t>
            </w:r>
            <w:r w:rsidRPr="00361FE7">
              <w:rPr>
                <w:rFonts w:ascii="Arial" w:hAnsi="Arial" w:cs="Arial"/>
                <w:szCs w:val="24"/>
              </w:rPr>
              <w:t xml:space="preserve">responses were </w:t>
            </w:r>
            <w:proofErr w:type="gramStart"/>
            <w:r w:rsidRPr="00361FE7">
              <w:rPr>
                <w:rFonts w:ascii="Arial" w:hAnsi="Arial" w:cs="Arial"/>
                <w:szCs w:val="24"/>
              </w:rPr>
              <w:t>taken into account</w:t>
            </w:r>
            <w:proofErr w:type="gramEnd"/>
            <w:r w:rsidRPr="00361FE7">
              <w:rPr>
                <w:rFonts w:ascii="Arial" w:hAnsi="Arial" w:cs="Arial"/>
                <w:szCs w:val="24"/>
              </w:rPr>
              <w:t xml:space="preserve"> in the decision.  </w:t>
            </w:r>
          </w:p>
          <w:p w14:paraId="11E0F9D2" w14:textId="7EDC9A8B" w:rsidR="00361FE7" w:rsidRPr="00361FE7" w:rsidRDefault="00361FE7" w:rsidP="007820C3">
            <w:pPr>
              <w:spacing w:before="60"/>
              <w:rPr>
                <w:rFonts w:ascii="Arial" w:hAnsi="Arial" w:cs="Arial"/>
                <w:szCs w:val="24"/>
              </w:rPr>
            </w:pPr>
          </w:p>
          <w:p w14:paraId="7021BB9B" w14:textId="6DA3E1E0" w:rsidR="00361FE7" w:rsidRPr="00361FE7" w:rsidRDefault="00361FE7" w:rsidP="007820C3">
            <w:pPr>
              <w:spacing w:before="60"/>
              <w:rPr>
                <w:rFonts w:ascii="Arial" w:hAnsi="Arial" w:cs="Arial"/>
                <w:szCs w:val="24"/>
              </w:rPr>
            </w:pPr>
            <w:r w:rsidRPr="00361FE7">
              <w:rPr>
                <w:rFonts w:ascii="Arial" w:hAnsi="Arial" w:cs="Arial"/>
                <w:szCs w:val="24"/>
              </w:rPr>
              <w:t>No responses were received.</w:t>
            </w:r>
          </w:p>
          <w:p w14:paraId="0FF1529B" w14:textId="77777777" w:rsidR="007820C3" w:rsidRPr="00361FE7" w:rsidRDefault="007820C3" w:rsidP="007820C3">
            <w:pPr>
              <w:spacing w:before="60"/>
              <w:rPr>
                <w:rFonts w:ascii="Arial" w:hAnsi="Arial" w:cs="Arial"/>
                <w:szCs w:val="24"/>
              </w:rPr>
            </w:pPr>
          </w:p>
          <w:p w14:paraId="0FF1529C" w14:textId="77777777" w:rsidR="007820C3" w:rsidRPr="00361FE7" w:rsidRDefault="007820C3" w:rsidP="007820C3">
            <w:pPr>
              <w:spacing w:before="60"/>
              <w:rPr>
                <w:rFonts w:ascii="Arial" w:hAnsi="Arial" w:cs="Arial"/>
                <w:szCs w:val="24"/>
              </w:rPr>
            </w:pPr>
            <w:r w:rsidRPr="00361FE7">
              <w:rPr>
                <w:rFonts w:ascii="Arial" w:hAnsi="Arial" w:cs="Arial"/>
                <w:szCs w:val="24"/>
              </w:rPr>
              <w:t xml:space="preserve">The decision was taken in accordance with our guidance. </w:t>
            </w:r>
          </w:p>
          <w:p w14:paraId="0FF1529D" w14:textId="77777777" w:rsidR="007820C3" w:rsidRPr="00361FE7"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887941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61FE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61FE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361FE7" w:rsidRDefault="00136717" w:rsidP="00136717">
            <w:pPr>
              <w:spacing w:before="60"/>
              <w:rPr>
                <w:rFonts w:ascii="Arial" w:hAnsi="Arial" w:cs="Arial"/>
                <w:szCs w:val="24"/>
              </w:rPr>
            </w:pPr>
            <w:r w:rsidRPr="00361FE7">
              <w:rPr>
                <w:rFonts w:ascii="Arial" w:hAnsi="Arial" w:cs="Arial"/>
                <w:szCs w:val="24"/>
              </w:rPr>
              <w:t>No FORM 1 completed:</w:t>
            </w:r>
          </w:p>
          <w:p w14:paraId="5CBD4E4C" w14:textId="77777777" w:rsidR="00136717" w:rsidRPr="00361FE7" w:rsidRDefault="00136717" w:rsidP="00136717">
            <w:pPr>
              <w:spacing w:before="60"/>
              <w:rPr>
                <w:rFonts w:ascii="Arial" w:hAnsi="Arial" w:cs="Arial"/>
                <w:szCs w:val="24"/>
              </w:rPr>
            </w:pPr>
          </w:p>
          <w:p w14:paraId="65718F40" w14:textId="77777777" w:rsidR="00136717" w:rsidRPr="00361FE7" w:rsidRDefault="00136717" w:rsidP="00136717">
            <w:pPr>
              <w:spacing w:before="60"/>
              <w:rPr>
                <w:rFonts w:ascii="Arial" w:hAnsi="Arial" w:cs="Arial"/>
                <w:szCs w:val="24"/>
              </w:rPr>
            </w:pPr>
            <w:r w:rsidRPr="00361FE7">
              <w:rPr>
                <w:rFonts w:ascii="Arial" w:hAnsi="Arial" w:cs="Arial"/>
                <w:szCs w:val="24"/>
              </w:rPr>
              <w:t xml:space="preserve">HRA is not required because there is no conceivable impact pathway to any Natura 2000/Ramsar site </w:t>
            </w:r>
          </w:p>
          <w:p w14:paraId="67AFC2B0" w14:textId="789ADD22" w:rsidR="00136717" w:rsidRPr="00361FE7" w:rsidRDefault="00136717" w:rsidP="00361FE7">
            <w:pPr>
              <w:spacing w:before="60"/>
              <w:rPr>
                <w:rFonts w:ascii="Arial" w:hAnsi="Arial" w:cs="Arial"/>
                <w:color w:val="FF0000"/>
              </w:rPr>
            </w:pPr>
            <w:r w:rsidRPr="00361FE7">
              <w:rPr>
                <w:rFonts w:ascii="Arial" w:hAnsi="Arial" w:cs="Arial"/>
              </w:rPr>
              <w:t>Note: From OGN 200 - no conceivable impact on any Natura 2000 site, by virtue of the scale or location or nature of the project.</w:t>
            </w:r>
          </w:p>
        </w:tc>
        <w:tc>
          <w:tcPr>
            <w:tcW w:w="1072" w:type="dxa"/>
          </w:tcPr>
          <w:p w14:paraId="5CCCC72E" w14:textId="0A24F4FD" w:rsidR="00136717" w:rsidRPr="00FB30B4" w:rsidRDefault="00361FE7"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1E7F71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61FE7" w:rsidRDefault="007820C3" w:rsidP="00A60F17">
            <w:pPr>
              <w:rPr>
                <w:rFonts w:ascii="Arial" w:hAnsi="Arial" w:cs="Arial"/>
                <w:szCs w:val="24"/>
              </w:rPr>
            </w:pPr>
            <w:r w:rsidRPr="00361FE7">
              <w:rPr>
                <w:rFonts w:ascii="Arial" w:hAnsi="Arial" w:cs="Arial"/>
                <w:szCs w:val="24"/>
              </w:rPr>
              <w:t xml:space="preserve">The operator considers this risk assessment is satisfactory. </w:t>
            </w:r>
          </w:p>
          <w:p w14:paraId="0FF152E7" w14:textId="77777777" w:rsidR="007820C3" w:rsidRPr="00361FE7" w:rsidRDefault="007820C3" w:rsidP="00A60F17">
            <w:pPr>
              <w:rPr>
                <w:rFonts w:ascii="Arial" w:hAnsi="Arial" w:cs="Arial"/>
                <w:szCs w:val="24"/>
              </w:rPr>
            </w:pPr>
          </w:p>
          <w:p w14:paraId="0FF152E8" w14:textId="259CBBB6" w:rsidR="007820C3" w:rsidRPr="00361FE7" w:rsidRDefault="007820C3" w:rsidP="00A60F17">
            <w:pPr>
              <w:pStyle w:val="BodyText"/>
              <w:rPr>
                <w:rFonts w:ascii="Arial" w:hAnsi="Arial" w:cs="Arial"/>
                <w:color w:val="auto"/>
                <w:szCs w:val="24"/>
              </w:rPr>
            </w:pPr>
            <w:r w:rsidRPr="00361FE7">
              <w:rPr>
                <w:rFonts w:ascii="Arial" w:hAnsi="Arial" w:cs="Arial"/>
                <w:color w:val="auto"/>
                <w:szCs w:val="24"/>
              </w:rPr>
              <w:t>The assessment shows that, applying the conservative criteria in our guidance on Environmental Risk Assessment, all emissions may be categorised as environmentally insignificant</w:t>
            </w:r>
            <w:r w:rsidR="00361FE7" w:rsidRPr="00361FE7">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4BEE5963" w:rsidR="007820C3" w:rsidRPr="00FB30B4" w:rsidRDefault="00361FE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361FE7" w:rsidRDefault="007820C3" w:rsidP="00792CEE">
            <w:pPr>
              <w:rPr>
                <w:rFonts w:ascii="Arial" w:hAnsi="Arial" w:cs="Arial"/>
                <w:szCs w:val="24"/>
              </w:rPr>
            </w:pPr>
            <w:r w:rsidRPr="00361FE7">
              <w:rPr>
                <w:rFonts w:ascii="Arial" w:hAnsi="Arial" w:cs="Arial"/>
                <w:szCs w:val="24"/>
              </w:rPr>
              <w:t>Operating techniques</w:t>
            </w:r>
          </w:p>
        </w:tc>
        <w:tc>
          <w:tcPr>
            <w:tcW w:w="6266" w:type="dxa"/>
          </w:tcPr>
          <w:p w14:paraId="0FF152ED" w14:textId="77777777" w:rsidR="007820C3" w:rsidRPr="00361FE7" w:rsidRDefault="007820C3" w:rsidP="00792CEE">
            <w:pPr>
              <w:pStyle w:val="BodyText"/>
              <w:rPr>
                <w:rFonts w:ascii="Arial" w:hAnsi="Arial" w:cs="Arial"/>
                <w:color w:val="auto"/>
                <w:szCs w:val="24"/>
              </w:rPr>
            </w:pPr>
            <w:r w:rsidRPr="00361FE7">
              <w:rPr>
                <w:rFonts w:ascii="Arial" w:hAnsi="Arial" w:cs="Arial"/>
                <w:color w:val="auto"/>
                <w:szCs w:val="24"/>
              </w:rPr>
              <w:t xml:space="preserve">We have reviewed the techniques used by the operator and compared these with the relevant guidance notes. </w:t>
            </w:r>
          </w:p>
          <w:p w14:paraId="215FC8C6" w14:textId="77777777" w:rsidR="00361FE7" w:rsidRPr="00361FE7" w:rsidRDefault="00361FE7" w:rsidP="00792CEE">
            <w:pPr>
              <w:pStyle w:val="BodyText"/>
              <w:rPr>
                <w:rFonts w:ascii="Arial" w:hAnsi="Arial" w:cs="Arial"/>
                <w:color w:val="auto"/>
                <w:szCs w:val="24"/>
              </w:rPr>
            </w:pPr>
          </w:p>
          <w:p w14:paraId="0FF152EF" w14:textId="69655172" w:rsidR="007820C3" w:rsidRPr="00361FE7" w:rsidRDefault="007820C3" w:rsidP="00792CEE">
            <w:pPr>
              <w:pStyle w:val="BodyText"/>
              <w:rPr>
                <w:rFonts w:ascii="Arial" w:hAnsi="Arial" w:cs="Arial"/>
                <w:color w:val="auto"/>
                <w:szCs w:val="24"/>
              </w:rPr>
            </w:pPr>
            <w:r w:rsidRPr="00361FE7">
              <w:rPr>
                <w:rFonts w:ascii="Arial" w:hAnsi="Arial" w:cs="Arial"/>
                <w:color w:val="auto"/>
                <w:szCs w:val="24"/>
              </w:rPr>
              <w:t xml:space="preserve">The proposed techniques / emission levels for priorities for control are in line with the benchmark levels contained in the TGN </w:t>
            </w:r>
            <w:r w:rsidR="00361FE7" w:rsidRPr="00361FE7">
              <w:rPr>
                <w:rFonts w:ascii="Arial" w:hAnsi="Arial" w:cs="Arial"/>
                <w:color w:val="auto"/>
                <w:szCs w:val="24"/>
              </w:rPr>
              <w:t xml:space="preserve">(EPR 7.01) </w:t>
            </w:r>
            <w:r w:rsidRPr="00361FE7">
              <w:rPr>
                <w:rFonts w:ascii="Arial" w:hAnsi="Arial" w:cs="Arial"/>
                <w:color w:val="auto"/>
                <w:szCs w:val="24"/>
              </w:rPr>
              <w:t xml:space="preserve">and we consider them to represent appropriate techniques for the facility. </w:t>
            </w:r>
          </w:p>
          <w:p w14:paraId="0FF152F4" w14:textId="77777777" w:rsidR="00FB30B4" w:rsidRPr="00361FE7" w:rsidRDefault="00FB30B4" w:rsidP="00361FE7">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361FE7" w:rsidRDefault="007820C3" w:rsidP="00792CEE">
            <w:pPr>
              <w:rPr>
                <w:rFonts w:ascii="Arial" w:hAnsi="Arial" w:cs="Arial"/>
                <w:szCs w:val="24"/>
              </w:rPr>
            </w:pPr>
            <w:r w:rsidRPr="00361FE7">
              <w:rPr>
                <w:rFonts w:ascii="Arial" w:hAnsi="Arial" w:cs="Arial"/>
                <w:szCs w:val="24"/>
              </w:rPr>
              <w:t>Emission limits</w:t>
            </w:r>
          </w:p>
        </w:tc>
        <w:tc>
          <w:tcPr>
            <w:tcW w:w="6266" w:type="dxa"/>
          </w:tcPr>
          <w:p w14:paraId="0FF1532C" w14:textId="77777777" w:rsidR="007820C3" w:rsidRPr="00361FE7" w:rsidRDefault="007820C3" w:rsidP="007E3284">
            <w:pPr>
              <w:rPr>
                <w:rFonts w:ascii="Arial" w:hAnsi="Arial" w:cs="Arial"/>
                <w:szCs w:val="24"/>
              </w:rPr>
            </w:pPr>
            <w:r w:rsidRPr="00361FE7">
              <w:rPr>
                <w:rFonts w:ascii="Arial" w:hAnsi="Arial" w:cs="Arial"/>
                <w:szCs w:val="24"/>
              </w:rPr>
              <w:t xml:space="preserve">We have decided that emission limits should be set for the parameters listed in the permit.   </w:t>
            </w:r>
          </w:p>
          <w:p w14:paraId="0FF1532D" w14:textId="77777777" w:rsidR="007820C3" w:rsidRPr="00361FE7" w:rsidRDefault="007820C3" w:rsidP="00792CEE">
            <w:pPr>
              <w:rPr>
                <w:rFonts w:ascii="Arial" w:hAnsi="Arial" w:cs="Arial"/>
                <w:szCs w:val="24"/>
              </w:rPr>
            </w:pPr>
          </w:p>
          <w:p w14:paraId="0FF1532E" w14:textId="34A6C69F" w:rsidR="007820C3" w:rsidRPr="00361FE7" w:rsidRDefault="007820C3" w:rsidP="00C07952">
            <w:pPr>
              <w:rPr>
                <w:rFonts w:ascii="Arial" w:hAnsi="Arial" w:cs="Arial"/>
                <w:szCs w:val="24"/>
              </w:rPr>
            </w:pPr>
            <w:r w:rsidRPr="00361FE7">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7D1E8DF6" w14:textId="18390C28" w:rsidR="00361FE7" w:rsidRPr="00361FE7" w:rsidRDefault="00361FE7" w:rsidP="00C07952">
            <w:pPr>
              <w:rPr>
                <w:rFonts w:ascii="Arial" w:hAnsi="Arial" w:cs="Arial"/>
                <w:szCs w:val="24"/>
              </w:rPr>
            </w:pPr>
          </w:p>
          <w:p w14:paraId="36AED99A" w14:textId="77777777" w:rsidR="00FB30B4" w:rsidRPr="00361FE7" w:rsidRDefault="00361FE7" w:rsidP="00C07952">
            <w:pPr>
              <w:rPr>
                <w:rFonts w:ascii="Arial" w:hAnsi="Arial" w:cs="Arial"/>
                <w:szCs w:val="24"/>
              </w:rPr>
            </w:pPr>
            <w:r w:rsidRPr="00361FE7">
              <w:rPr>
                <w:rFonts w:ascii="Arial" w:hAnsi="Arial" w:cs="Arial"/>
                <w:szCs w:val="24"/>
              </w:rPr>
              <w:t>A pH range of 6-9 has been imposed to ensure that the discharged effluent remains neutral.</w:t>
            </w:r>
          </w:p>
          <w:p w14:paraId="3750FCCC" w14:textId="77777777" w:rsidR="00361FE7" w:rsidRPr="00361FE7" w:rsidRDefault="00361FE7" w:rsidP="00C07952">
            <w:pPr>
              <w:rPr>
                <w:rFonts w:ascii="Arial" w:hAnsi="Arial" w:cs="Arial"/>
                <w:szCs w:val="24"/>
              </w:rPr>
            </w:pPr>
          </w:p>
          <w:p w14:paraId="0FF1532F" w14:textId="1A7DE57B" w:rsidR="00361FE7" w:rsidRPr="00361FE7" w:rsidRDefault="00361FE7" w:rsidP="00361FE7">
            <w:pPr>
              <w:rPr>
                <w:rFonts w:ascii="Arial" w:hAnsi="Arial" w:cs="Arial"/>
                <w:szCs w:val="24"/>
              </w:rPr>
            </w:pPr>
            <w:r w:rsidRPr="00361FE7">
              <w:rPr>
                <w:rFonts w:ascii="Arial" w:hAnsi="Arial" w:cs="Arial"/>
                <w:szCs w:val="24"/>
              </w:rPr>
              <w:t xml:space="preserve">A suspended solids limit of 25 mg/l has been imposed based on the treatment efficiencies of the chemical treatment facility on site as well as the lower limit of annual means solids for migratory passage </w:t>
            </w:r>
            <w:r w:rsidR="00747961">
              <w:rPr>
                <w:rFonts w:ascii="Arial" w:hAnsi="Arial" w:cs="Arial"/>
                <w:szCs w:val="24"/>
              </w:rPr>
              <w:t xml:space="preserve">and potential spawning grounds </w:t>
            </w:r>
            <w:r w:rsidRPr="00361FE7">
              <w:rPr>
                <w:rFonts w:ascii="Arial" w:hAnsi="Arial" w:cs="Arial"/>
                <w:szCs w:val="24"/>
              </w:rPr>
              <w:t>of salmonoid fish.</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61FE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4C18E86"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B26C5F">
              <w:rPr>
                <w:rFonts w:ascii="Arial" w:eastAsia="Arial" w:hAnsi="Arial" w:cs="Arial"/>
              </w:rPr>
              <w:t xml:space="preserve">consistent with the function of determining an application for a </w:t>
            </w:r>
            <w:proofErr w:type="spellStart"/>
            <w:proofErr w:type="gramStart"/>
            <w:r w:rsidR="00B26C5F" w:rsidRPr="00B26C5F">
              <w:rPr>
                <w:rFonts w:ascii="Arial" w:eastAsia="Arial" w:hAnsi="Arial" w:cs="Arial"/>
              </w:rPr>
              <w:t>stand</w:t>
            </w:r>
            <w:r w:rsidR="00B26C5F">
              <w:rPr>
                <w:rFonts w:ascii="Arial" w:eastAsia="Arial" w:hAnsi="Arial" w:cs="Arial"/>
              </w:rPr>
              <w:t xml:space="preserve"> </w:t>
            </w:r>
            <w:r w:rsidR="00B26C5F" w:rsidRPr="00B26C5F">
              <w:rPr>
                <w:rFonts w:ascii="Arial" w:eastAsia="Arial" w:hAnsi="Arial" w:cs="Arial"/>
              </w:rPr>
              <w:t>alone</w:t>
            </w:r>
            <w:proofErr w:type="spellEnd"/>
            <w:proofErr w:type="gramEnd"/>
            <w:r w:rsidRPr="00B26C5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73BDF65" w:rsidR="00C44B7E" w:rsidRDefault="00C44B7E" w:rsidP="00B26C5F">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361FE7" w:rsidRDefault="00361FE7">
      <w:r>
        <w:separator/>
      </w:r>
    </w:p>
  </w:endnote>
  <w:endnote w:type="continuationSeparator" w:id="0">
    <w:p w14:paraId="314FBF3B" w14:textId="77777777" w:rsidR="00361FE7" w:rsidRDefault="00361FE7">
      <w:r>
        <w:continuationSeparator/>
      </w:r>
    </w:p>
  </w:endnote>
  <w:endnote w:type="continuationNotice" w:id="1">
    <w:p w14:paraId="56810FF3" w14:textId="77777777" w:rsidR="00361FE7" w:rsidRDefault="00361F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61FE7" w:rsidRDefault="00361F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61FE7" w:rsidRDefault="00361F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61FE7" w:rsidRPr="002B61AE" w14:paraId="0FF15380" w14:textId="77777777" w:rsidTr="008632BF">
      <w:trPr>
        <w:trHeight w:val="286"/>
      </w:trPr>
      <w:tc>
        <w:tcPr>
          <w:tcW w:w="2659" w:type="dxa"/>
        </w:tcPr>
        <w:p w14:paraId="0FF1537C" w14:textId="7104BEDB" w:rsidR="00361FE7" w:rsidRPr="00E907C6" w:rsidRDefault="00361FE7"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61FE7" w:rsidRPr="00E907C6" w:rsidRDefault="00361FE7"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61FE7" w:rsidRPr="00E907C6" w:rsidRDefault="00361FE7"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61FE7" w:rsidRPr="00E907C6" w:rsidRDefault="00361FE7"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61FE7" w:rsidRPr="003F4346" w:rsidRDefault="00361FE7"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361FE7" w:rsidRDefault="00361FE7">
      <w:r>
        <w:separator/>
      </w:r>
    </w:p>
  </w:footnote>
  <w:footnote w:type="continuationSeparator" w:id="0">
    <w:p w14:paraId="07FFA255" w14:textId="77777777" w:rsidR="00361FE7" w:rsidRDefault="00361FE7">
      <w:r>
        <w:continuationSeparator/>
      </w:r>
    </w:p>
  </w:footnote>
  <w:footnote w:type="continuationNotice" w:id="1">
    <w:p w14:paraId="144D4EEC" w14:textId="77777777" w:rsidR="00361FE7" w:rsidRDefault="00361FE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1FE7"/>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47961"/>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6C5F"/>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0F83"/>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REGU-184-1796650</_dlc_DocId>
    <_dlc_DocIdUrl xmlns="9be56660-2c31-41ef-bc00-23e72f632f2a">
      <Url>https://cyfoethnaturiolcymru.sharepoint.com/teams/Regulatory/Permitting/_layouts/15/DocIdRedir.aspx?ID=REGU-184-1796650</Url>
      <Description>REGU-184-1796650</Description>
    </_dlc_DocIdUrl>
    <License_x002f_Activity_x0020_Type xmlns="859f7ad6-93f6-4205-b62b-a17f28acbbac">4. EPR Water Discharge</License_x002f_Activity_x0020_Type>
    <Site_x0020_Name xmlns="859f7ad6-93f6-4205-b62b-a17f28acbbac">A465 section 5 and 6 Dowlais Top to Hirwaun</Site_x0020_Name>
    <Internal_x002f_External xmlns="859f7ad6-93f6-4205-b62b-a17f28acbbac">Outgoing document</Internal_x002f_External>
    <Post_x0020_code xmlns="859f7ad6-93f6-4205-b62b-a17f28acbbac">CF48 1DL</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 xsi:nil="true"/>
    <Document_x0020_Date xmlns="859f7ad6-93f6-4205-b62b-a17f28acbbac">2022-04-05T23:00:00+00:00</Document_x0020_Date>
    <Facility_x0020_Address xmlns="859f7ad6-93f6-4205-b62b-a17f28acbbac">Orbit Business Centre, Rhydycar Business Park, Merthyr Tydfil</Facility_x0020_Address>
    <Environment_x0020_Sub_x0020_Folder xmlns="859f7ad6-93f6-4205-b62b-a17f28acbbac">Licences applications</Environment_x0020_Sub_x0020_Folder>
    <Customer_x0020_Name xmlns="859f7ad6-93f6-4205-b62b-a17f28acbbac">FCC Construccion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859f7ad6-93f6-4205-b62b-a17f28acbbac"/>
    <ds:schemaRef ds:uri="9be56660-2c31-41ef-bc00-23e72f632f2a"/>
    <ds:schemaRef ds:uri="6e121689-de5b-41b9-a751-bfeda7fa2b07"/>
    <ds:schemaRef ds:uri="http://purl.org/dc/terms/"/>
    <ds:schemaRef ds:uri="b67299c9-1600-4d20-976e-ea8f199d05b8"/>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5EB1A5EF-D04D-4E5A-85F8-3E9A96527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1016</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2022-04-06T07:24:00Z</dcterms:created>
  <dcterms:modified xsi:type="dcterms:W3CDTF">2022-04-12T12:20:00Z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fe7eea77-742d-4094-9572-b66228f7e602</vt:lpwstr>
  </property>
  <property fmtid="{D5CDD505-2E9C-101B-9397-08002B2CF9AE}" pid="11" name="SharedWithUsers">
    <vt:lpwstr/>
  </property>
</Properties>
</file>